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6F3465" w:rsidTr="00BC386A" w14:paraId="20CE36B0" w14:textId="77777777">
        <w:tc>
          <w:tcPr>
            <w:tcW w:w="2122" w:type="dxa"/>
          </w:tcPr>
          <w:p w:rsidRPr="0050059F" w:rsidR="006F3465" w:rsidP="00BC386A" w:rsidRDefault="006F3465" w14:paraId="5DC92A93" w14:textId="77777777">
            <w:pPr>
              <w:rPr>
                <w:b/>
                <w:bCs/>
              </w:rPr>
            </w:pPr>
          </w:p>
        </w:tc>
        <w:tc>
          <w:tcPr>
            <w:tcW w:w="6894" w:type="dxa"/>
          </w:tcPr>
          <w:p w:rsidRPr="0050059F" w:rsidR="006F3465" w:rsidP="00BC386A" w:rsidRDefault="00857BA8" w14:paraId="09732139" w14:textId="25050D9A">
            <w:pPr>
              <w:rPr>
                <w:b/>
                <w:bCs/>
              </w:rPr>
            </w:pPr>
            <w:r>
              <w:rPr>
                <w:b/>
                <w:bCs/>
              </w:rPr>
              <w:t>Home Visits</w:t>
            </w:r>
          </w:p>
        </w:tc>
      </w:tr>
      <w:tr w:rsidR="006F3465" w:rsidTr="00BC386A" w14:paraId="4E4B4F5A" w14:textId="77777777">
        <w:tc>
          <w:tcPr>
            <w:tcW w:w="2122" w:type="dxa"/>
          </w:tcPr>
          <w:p w:rsidRPr="0050059F" w:rsidR="006F3465" w:rsidP="00BC386A" w:rsidRDefault="006F3465" w14:paraId="2214D382" w14:textId="77777777">
            <w:pPr>
              <w:rPr>
                <w:b/>
                <w:bCs/>
              </w:rPr>
            </w:pPr>
            <w:r w:rsidRPr="0050059F">
              <w:rPr>
                <w:b/>
                <w:bCs/>
              </w:rPr>
              <w:t>Version</w:t>
            </w:r>
          </w:p>
        </w:tc>
        <w:tc>
          <w:tcPr>
            <w:tcW w:w="6894" w:type="dxa"/>
          </w:tcPr>
          <w:p w:rsidR="006F3465" w:rsidP="00BC386A" w:rsidRDefault="006F3465" w14:paraId="1402E657" w14:textId="3BC90772">
            <w:r>
              <w:t xml:space="preserve">Version 1.0 </w:t>
            </w:r>
          </w:p>
        </w:tc>
      </w:tr>
      <w:tr w:rsidR="006F3465" w:rsidTr="00BC386A" w14:paraId="4A9AF691" w14:textId="77777777">
        <w:tc>
          <w:tcPr>
            <w:tcW w:w="2122" w:type="dxa"/>
          </w:tcPr>
          <w:p w:rsidRPr="0050059F" w:rsidR="006F3465" w:rsidP="00BC386A" w:rsidRDefault="006F3465" w14:paraId="3A300EEE" w14:textId="77777777">
            <w:pPr>
              <w:rPr>
                <w:b/>
                <w:bCs/>
              </w:rPr>
            </w:pPr>
            <w:r w:rsidRPr="0050059F">
              <w:rPr>
                <w:b/>
                <w:bCs/>
              </w:rPr>
              <w:t>Authorisation</w:t>
            </w:r>
          </w:p>
        </w:tc>
        <w:tc>
          <w:tcPr>
            <w:tcW w:w="6894" w:type="dxa"/>
          </w:tcPr>
          <w:p w:rsidR="006F3465" w:rsidP="00BC386A" w:rsidRDefault="00775CA3" w14:paraId="60B99521" w14:textId="31049117">
            <w:r>
              <w:t>Dr Liam Lees,</w:t>
            </w:r>
            <w:r w:rsidR="006F3465">
              <w:t xml:space="preserve"> on behalf of the partners of </w:t>
            </w:r>
            <w:proofErr w:type="spellStart"/>
            <w:r w:rsidR="006F3465">
              <w:t>Carterknowle</w:t>
            </w:r>
            <w:proofErr w:type="spellEnd"/>
            <w:r w:rsidR="006F3465">
              <w:t xml:space="preserve"> and Dore Medical Practice</w:t>
            </w:r>
          </w:p>
        </w:tc>
      </w:tr>
      <w:tr w:rsidR="006F3465" w:rsidTr="00BC386A" w14:paraId="23B6361A" w14:textId="77777777">
        <w:tc>
          <w:tcPr>
            <w:tcW w:w="2122" w:type="dxa"/>
          </w:tcPr>
          <w:p w:rsidRPr="0050059F" w:rsidR="006F3465" w:rsidP="00BC386A" w:rsidRDefault="003D2779" w14:paraId="35F201E0" w14:textId="08A1C647">
            <w:pPr>
              <w:rPr>
                <w:b/>
                <w:bCs/>
              </w:rPr>
            </w:pPr>
            <w:r w:rsidRPr="0050059F">
              <w:rPr>
                <w:b/>
                <w:bCs/>
              </w:rPr>
              <w:t>Responsible</w:t>
            </w:r>
            <w:r w:rsidRPr="0050059F" w:rsidR="006F3465">
              <w:rPr>
                <w:b/>
                <w:bCs/>
              </w:rPr>
              <w:t xml:space="preserve"> parties</w:t>
            </w:r>
          </w:p>
        </w:tc>
        <w:tc>
          <w:tcPr>
            <w:tcW w:w="6894" w:type="dxa"/>
          </w:tcPr>
          <w:p w:rsidR="006F3465" w:rsidP="00BC386A" w:rsidRDefault="006F3465" w14:paraId="203EC91E" w14:textId="77777777">
            <w:proofErr w:type="spellStart"/>
            <w:r>
              <w:t>Carterknowle</w:t>
            </w:r>
            <w:proofErr w:type="spellEnd"/>
            <w:r>
              <w:t xml:space="preserve"> and Dore Medical Practice </w:t>
            </w:r>
          </w:p>
        </w:tc>
      </w:tr>
      <w:tr w:rsidR="006F3465" w:rsidTr="00BC386A" w14:paraId="500DFD07" w14:textId="77777777">
        <w:tc>
          <w:tcPr>
            <w:tcW w:w="2122" w:type="dxa"/>
          </w:tcPr>
          <w:p w:rsidRPr="0050059F" w:rsidR="006F3465" w:rsidP="00BC386A" w:rsidRDefault="00775CA3" w14:paraId="204651BF" w14:textId="55FC35D8">
            <w:pPr>
              <w:rPr>
                <w:b/>
                <w:bCs/>
              </w:rPr>
            </w:pPr>
            <w:r>
              <w:rPr>
                <w:b/>
                <w:bCs/>
              </w:rPr>
              <w:t>Last review</w:t>
            </w:r>
          </w:p>
        </w:tc>
        <w:tc>
          <w:tcPr>
            <w:tcW w:w="6894" w:type="dxa"/>
          </w:tcPr>
          <w:p w:rsidR="006F3465" w:rsidP="00BC386A" w:rsidRDefault="00775CA3" w14:paraId="44BADF1C" w14:textId="08D8EDEC">
            <w:r>
              <w:t>April 2026</w:t>
            </w:r>
          </w:p>
        </w:tc>
      </w:tr>
      <w:tr w:rsidR="00775CA3" w:rsidTr="00BC386A" w14:paraId="3D597C11" w14:textId="77777777">
        <w:tc>
          <w:tcPr>
            <w:tcW w:w="2122" w:type="dxa"/>
          </w:tcPr>
          <w:p w:rsidRPr="0050059F" w:rsidR="00775CA3" w:rsidP="00BC386A" w:rsidRDefault="00775CA3" w14:paraId="635E170B" w14:textId="7FC70731">
            <w:pPr>
              <w:rPr>
                <w:b/>
                <w:bCs/>
              </w:rPr>
            </w:pPr>
            <w:r>
              <w:rPr>
                <w:b/>
                <w:bCs/>
              </w:rPr>
              <w:t>Next review due</w:t>
            </w:r>
          </w:p>
        </w:tc>
        <w:tc>
          <w:tcPr>
            <w:tcW w:w="6894" w:type="dxa"/>
          </w:tcPr>
          <w:p w:rsidR="00775CA3" w:rsidP="00BC386A" w:rsidRDefault="00775CA3" w14:paraId="2BA6E986" w14:textId="1A6EDF13">
            <w:r>
              <w:t>April 2027</w:t>
            </w:r>
          </w:p>
        </w:tc>
      </w:tr>
    </w:tbl>
    <w:p w:rsidR="00AF1B8E" w:rsidRDefault="00AF1B8E" w14:paraId="0B4697AB" w14:textId="77777777"/>
    <w:p w:rsidR="006F3465" w:rsidRDefault="006F3465" w14:paraId="16EEDC97" w14:textId="77777777"/>
    <w:tbl>
      <w:tblPr>
        <w:tblStyle w:val="TableGrid"/>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423"/>
        <w:gridCol w:w="440"/>
        <w:gridCol w:w="8153"/>
      </w:tblGrid>
      <w:tr w:rsidR="006F3465" w:rsidTr="06C37C59" w14:paraId="034B3CD2" w14:textId="77777777">
        <w:tc>
          <w:tcPr>
            <w:tcW w:w="863" w:type="dxa"/>
            <w:gridSpan w:val="2"/>
            <w:shd w:val="clear" w:color="auto" w:fill="F2F2F2" w:themeFill="background1" w:themeFillShade="F2"/>
            <w:tcMar/>
          </w:tcPr>
          <w:p w:rsidRPr="00253F16" w:rsidR="006F3465" w:rsidRDefault="006F3465" w14:paraId="0C99DF3B" w14:textId="1F231B9F">
            <w:pPr>
              <w:rPr>
                <w:b/>
                <w:bCs/>
              </w:rPr>
            </w:pPr>
            <w:r w:rsidRPr="00253F16">
              <w:rPr>
                <w:b/>
                <w:bCs/>
              </w:rPr>
              <w:t>1</w:t>
            </w:r>
          </w:p>
        </w:tc>
        <w:tc>
          <w:tcPr>
            <w:tcW w:w="8153" w:type="dxa"/>
            <w:tcMar/>
          </w:tcPr>
          <w:p w:rsidR="006F3465" w:rsidRDefault="006F3465" w14:paraId="3E83FB5D" w14:textId="4457E289">
            <w:r w:rsidRPr="006F3465">
              <w:rPr>
                <w:b/>
                <w:bCs/>
                <w:u w:val="single"/>
              </w:rPr>
              <w:t>Purpose:</w:t>
            </w:r>
            <w:r>
              <w:br/>
            </w:r>
            <w:proofErr w:type="spellStart"/>
            <w:r>
              <w:t>Carterknowle</w:t>
            </w:r>
            <w:proofErr w:type="spellEnd"/>
            <w:r>
              <w:t xml:space="preserve"> and Dore Medical Practice is a registered GP practice offering medical services under the GMS (General Medical Services) contract to our local population.  We are </w:t>
            </w:r>
            <w:r w:rsidR="00AF60BF">
              <w:t>committed</w:t>
            </w:r>
            <w:r>
              <w:t xml:space="preserve"> to safe and effective prescribing of medication for the purposes of healthcare and disease management.   </w:t>
            </w:r>
          </w:p>
          <w:p w:rsidR="006F3465" w:rsidRDefault="006F3465" w14:paraId="06158991" w14:textId="69062FBF"/>
        </w:tc>
      </w:tr>
      <w:tr w:rsidR="006F3465" w:rsidTr="06C37C59" w14:paraId="4D353499" w14:textId="77777777">
        <w:tc>
          <w:tcPr>
            <w:tcW w:w="863" w:type="dxa"/>
            <w:gridSpan w:val="2"/>
            <w:shd w:val="clear" w:color="auto" w:fill="F2F2F2" w:themeFill="background1" w:themeFillShade="F2"/>
            <w:tcMar/>
          </w:tcPr>
          <w:p w:rsidRPr="00253F16" w:rsidR="006F3465" w:rsidRDefault="006F3465" w14:paraId="78690027" w14:textId="684EF972">
            <w:pPr>
              <w:rPr>
                <w:b/>
                <w:bCs/>
              </w:rPr>
            </w:pPr>
            <w:r w:rsidRPr="00253F16">
              <w:rPr>
                <w:b/>
                <w:bCs/>
              </w:rPr>
              <w:t>2</w:t>
            </w:r>
          </w:p>
        </w:tc>
        <w:tc>
          <w:tcPr>
            <w:tcW w:w="8153" w:type="dxa"/>
            <w:tcMar/>
          </w:tcPr>
          <w:p w:rsidR="006F3465" w:rsidRDefault="006F3465" w14:paraId="51A163FA" w14:textId="504F207C">
            <w:r w:rsidRPr="006F3465">
              <w:rPr>
                <w:b/>
                <w:bCs/>
                <w:u w:val="single"/>
              </w:rPr>
              <w:t>Scope:</w:t>
            </w:r>
            <w:r>
              <w:br/>
            </w:r>
            <w:r w:rsidR="00775CA3">
              <w:t>This policy covers requests for home visits, the practice definitions and rules in how we respond to those requests.</w:t>
            </w:r>
            <w:r w:rsidR="00BD5676">
              <w:t xml:space="preserve"> </w:t>
            </w:r>
          </w:p>
          <w:p w:rsidR="006F3465" w:rsidRDefault="006F3465" w14:paraId="6F37DD64" w14:textId="221C88F5"/>
        </w:tc>
      </w:tr>
      <w:tr w:rsidR="006F3465" w:rsidTr="06C37C59" w14:paraId="2A897353" w14:textId="77777777">
        <w:tc>
          <w:tcPr>
            <w:tcW w:w="863" w:type="dxa"/>
            <w:gridSpan w:val="2"/>
            <w:shd w:val="clear" w:color="auto" w:fill="F2F2F2" w:themeFill="background1" w:themeFillShade="F2"/>
            <w:tcMar/>
          </w:tcPr>
          <w:p w:rsidRPr="00253F16" w:rsidR="006F3465" w:rsidRDefault="006F3465" w14:paraId="0D2FA162" w14:textId="3BBEEA62">
            <w:pPr>
              <w:rPr>
                <w:b/>
                <w:bCs/>
              </w:rPr>
            </w:pPr>
            <w:r w:rsidRPr="00253F16">
              <w:rPr>
                <w:b/>
                <w:bCs/>
              </w:rPr>
              <w:t>3</w:t>
            </w:r>
          </w:p>
        </w:tc>
        <w:tc>
          <w:tcPr>
            <w:tcW w:w="8153" w:type="dxa"/>
            <w:tcMar/>
          </w:tcPr>
          <w:p w:rsidR="006F3465" w:rsidRDefault="006F3465" w14:paraId="0E269B10" w14:textId="6D0D6174">
            <w:r w:rsidRPr="006F3465">
              <w:rPr>
                <w:b/>
                <w:bCs/>
                <w:u w:val="single"/>
              </w:rPr>
              <w:t xml:space="preserve">Roles and </w:t>
            </w:r>
            <w:r w:rsidRPr="006F3465" w:rsidR="00AF60BF">
              <w:rPr>
                <w:b/>
                <w:bCs/>
                <w:u w:val="single"/>
              </w:rPr>
              <w:t>responsibilities</w:t>
            </w:r>
            <w:r w:rsidRPr="006F3465">
              <w:rPr>
                <w:b/>
                <w:bCs/>
                <w:u w:val="single"/>
              </w:rPr>
              <w:t>:</w:t>
            </w:r>
            <w:r w:rsidRPr="003126CE">
              <w:rPr>
                <w:b/>
                <w:bCs/>
              </w:rPr>
              <w:br/>
            </w:r>
            <w:r w:rsidR="00775CA3">
              <w:t xml:space="preserve">This policy applies to patients at the practice and to the clinicians involved in the triage and review of requests. </w:t>
            </w:r>
          </w:p>
          <w:p w:rsidR="006F3465" w:rsidRDefault="006F3465" w14:paraId="774EF13C" w14:textId="70D060AF"/>
        </w:tc>
      </w:tr>
      <w:tr w:rsidR="006F3465" w:rsidTr="06C37C59" w14:paraId="0C885C92" w14:textId="77777777">
        <w:tc>
          <w:tcPr>
            <w:tcW w:w="863" w:type="dxa"/>
            <w:gridSpan w:val="2"/>
            <w:shd w:val="clear" w:color="auto" w:fill="F2F2F2" w:themeFill="background1" w:themeFillShade="F2"/>
            <w:tcMar/>
          </w:tcPr>
          <w:p w:rsidRPr="00253F16" w:rsidR="006F3465" w:rsidRDefault="006F3465" w14:paraId="7619F99C" w14:textId="7A176CDB">
            <w:pPr>
              <w:rPr>
                <w:b/>
                <w:bCs/>
              </w:rPr>
            </w:pPr>
            <w:r w:rsidRPr="00253F16">
              <w:rPr>
                <w:b/>
                <w:bCs/>
              </w:rPr>
              <w:t>4</w:t>
            </w:r>
          </w:p>
        </w:tc>
        <w:tc>
          <w:tcPr>
            <w:tcW w:w="8153" w:type="dxa"/>
            <w:tcMar/>
          </w:tcPr>
          <w:p w:rsidRPr="006F3465" w:rsidR="006F3465" w:rsidRDefault="006F3465" w14:paraId="5D89DA4B" w14:textId="63083C4C">
            <w:pPr>
              <w:rPr>
                <w:u w:val="single"/>
              </w:rPr>
            </w:pPr>
            <w:r w:rsidRPr="006F3465">
              <w:rPr>
                <w:b/>
                <w:bCs/>
                <w:u w:val="single"/>
              </w:rPr>
              <w:t>Definitions and terminology:</w:t>
            </w:r>
          </w:p>
        </w:tc>
      </w:tr>
      <w:tr w:rsidR="006F3465" w:rsidTr="06C37C59" w14:paraId="2C934DC0" w14:textId="77777777">
        <w:tc>
          <w:tcPr>
            <w:tcW w:w="423" w:type="dxa"/>
            <w:shd w:val="clear" w:color="auto" w:fill="F2F2F2" w:themeFill="background1" w:themeFillShade="F2"/>
            <w:tcMar/>
          </w:tcPr>
          <w:p w:rsidRPr="00253F16" w:rsidR="006F3465" w:rsidRDefault="006F3465" w14:paraId="03DAE4A2" w14:textId="7FF11296">
            <w:pPr>
              <w:rPr>
                <w:b/>
                <w:bCs/>
              </w:rPr>
            </w:pPr>
          </w:p>
        </w:tc>
        <w:tc>
          <w:tcPr>
            <w:tcW w:w="440" w:type="dxa"/>
            <w:shd w:val="clear" w:color="auto" w:fill="F2F2F2" w:themeFill="background1" w:themeFillShade="F2"/>
            <w:tcMar/>
          </w:tcPr>
          <w:p w:rsidRPr="00253F16" w:rsidR="006F3465" w:rsidRDefault="006F3465" w14:paraId="6654010A" w14:textId="70FBC79F">
            <w:pPr>
              <w:rPr>
                <w:b/>
                <w:bCs/>
              </w:rPr>
            </w:pPr>
            <w:r w:rsidRPr="00253F16">
              <w:rPr>
                <w:b/>
                <w:bCs/>
              </w:rPr>
              <w:t>1</w:t>
            </w:r>
          </w:p>
        </w:tc>
        <w:tc>
          <w:tcPr>
            <w:tcW w:w="8153" w:type="dxa"/>
            <w:tcMar/>
          </w:tcPr>
          <w:p w:rsidR="006F3465" w:rsidRDefault="00775CA3" w14:paraId="3FB8B8B8" w14:textId="5415D0A8">
            <w:r w:rsidRPr="06C37C59" w:rsidR="00775CA3">
              <w:rPr>
                <w:b w:val="1"/>
                <w:bCs w:val="1"/>
              </w:rPr>
              <w:t>Housebound</w:t>
            </w:r>
            <w:r w:rsidR="00775CA3">
              <w:rPr/>
              <w:t xml:space="preserve">: a person who due to physical and /or psychological illness is physically unable to leave the house on their own </w:t>
            </w:r>
            <w:r w:rsidR="00BE0B84">
              <w:rPr/>
              <w:t xml:space="preserve">for any reason </w:t>
            </w:r>
            <w:r w:rsidR="00775CA3">
              <w:rPr/>
              <w:t xml:space="preserve">even if they have </w:t>
            </w:r>
            <w:r w:rsidR="00775CA3">
              <w:rPr/>
              <w:t>assistance</w:t>
            </w:r>
            <w:r w:rsidR="00775CA3">
              <w:rPr/>
              <w:t xml:space="preserve"> from others or access to </w:t>
            </w:r>
            <w:r w:rsidR="003D2779">
              <w:rPr/>
              <w:t>transport and</w:t>
            </w:r>
            <w:r w:rsidR="00775CA3">
              <w:rPr/>
              <w:t xml:space="preserve"> would experience detrimental impact on health</w:t>
            </w:r>
            <w:r w:rsidR="003D2779">
              <w:rPr/>
              <w:t xml:space="preserve"> in doing so.</w:t>
            </w:r>
            <w:r w:rsidR="00775CA3">
              <w:rPr/>
              <w:t xml:space="preserve"> </w:t>
            </w:r>
          </w:p>
        </w:tc>
      </w:tr>
      <w:tr w:rsidR="006F3465" w:rsidTr="06C37C59" w14:paraId="7055F33B" w14:textId="77777777">
        <w:tc>
          <w:tcPr>
            <w:tcW w:w="423" w:type="dxa"/>
            <w:shd w:val="clear" w:color="auto" w:fill="F2F2F2" w:themeFill="background1" w:themeFillShade="F2"/>
            <w:tcMar/>
          </w:tcPr>
          <w:p w:rsidRPr="00253F16" w:rsidR="006F3465" w:rsidRDefault="006F3465" w14:paraId="5C567491" w14:textId="77777777">
            <w:pPr>
              <w:rPr>
                <w:b/>
                <w:bCs/>
              </w:rPr>
            </w:pPr>
          </w:p>
        </w:tc>
        <w:tc>
          <w:tcPr>
            <w:tcW w:w="440" w:type="dxa"/>
            <w:shd w:val="clear" w:color="auto" w:fill="F2F2F2" w:themeFill="background1" w:themeFillShade="F2"/>
            <w:tcMar/>
          </w:tcPr>
          <w:p w:rsidRPr="00253F16" w:rsidR="006F3465" w:rsidRDefault="006F3465" w14:paraId="7BC2C733" w14:textId="41404EC9">
            <w:pPr>
              <w:rPr>
                <w:b/>
                <w:bCs/>
              </w:rPr>
            </w:pPr>
          </w:p>
        </w:tc>
        <w:tc>
          <w:tcPr>
            <w:tcW w:w="8153" w:type="dxa"/>
            <w:tcMar/>
          </w:tcPr>
          <w:p w:rsidR="006F3465" w:rsidRDefault="006F3465" w14:paraId="7A60D846" w14:textId="1C22B8A9"/>
        </w:tc>
      </w:tr>
      <w:tr w:rsidR="006F3465" w:rsidTr="06C37C59" w14:paraId="6A2D4048" w14:textId="77777777">
        <w:tc>
          <w:tcPr>
            <w:tcW w:w="423" w:type="dxa"/>
            <w:shd w:val="clear" w:color="auto" w:fill="F2F2F2" w:themeFill="background1" w:themeFillShade="F2"/>
            <w:tcMar/>
          </w:tcPr>
          <w:p w:rsidRPr="00253F16" w:rsidR="006F3465" w:rsidRDefault="006F3465" w14:paraId="2EA9942E" w14:textId="77777777">
            <w:pPr>
              <w:rPr>
                <w:b/>
                <w:bCs/>
              </w:rPr>
            </w:pPr>
          </w:p>
        </w:tc>
        <w:tc>
          <w:tcPr>
            <w:tcW w:w="440" w:type="dxa"/>
            <w:shd w:val="clear" w:color="auto" w:fill="F2F2F2" w:themeFill="background1" w:themeFillShade="F2"/>
            <w:tcMar/>
          </w:tcPr>
          <w:p w:rsidRPr="00253F16" w:rsidR="006F3465" w:rsidRDefault="006F3465" w14:paraId="3AA6633B" w14:textId="2030136C">
            <w:pPr>
              <w:rPr>
                <w:b/>
                <w:bCs/>
              </w:rPr>
            </w:pPr>
          </w:p>
        </w:tc>
        <w:tc>
          <w:tcPr>
            <w:tcW w:w="8153" w:type="dxa"/>
            <w:tcMar/>
          </w:tcPr>
          <w:p w:rsidR="006F3465" w:rsidRDefault="006F3465" w14:paraId="1C39A2F5" w14:textId="6B814F69"/>
        </w:tc>
      </w:tr>
      <w:tr w:rsidR="006F3465" w:rsidTr="06C37C59" w14:paraId="2205338E" w14:textId="77777777">
        <w:tc>
          <w:tcPr>
            <w:tcW w:w="863" w:type="dxa"/>
            <w:gridSpan w:val="2"/>
            <w:shd w:val="clear" w:color="auto" w:fill="F2F2F2" w:themeFill="background1" w:themeFillShade="F2"/>
            <w:tcMar/>
          </w:tcPr>
          <w:p w:rsidRPr="00253F16" w:rsidR="006F3465" w:rsidRDefault="006F3465" w14:paraId="2A1A8F99" w14:textId="668FEF77">
            <w:pPr>
              <w:rPr>
                <w:b/>
                <w:bCs/>
              </w:rPr>
            </w:pPr>
            <w:r w:rsidRPr="00253F16">
              <w:rPr>
                <w:b/>
                <w:bCs/>
              </w:rPr>
              <w:t>5</w:t>
            </w:r>
          </w:p>
        </w:tc>
        <w:tc>
          <w:tcPr>
            <w:tcW w:w="8153" w:type="dxa"/>
            <w:tcMar/>
          </w:tcPr>
          <w:p w:rsidR="00DF0B48" w:rsidP="00AF60BF" w:rsidRDefault="006F3465" w14:paraId="28501677" w14:textId="787C4C25">
            <w:r w:rsidRPr="006F3465">
              <w:rPr>
                <w:b/>
                <w:bCs/>
                <w:u w:val="single"/>
              </w:rPr>
              <w:t>Background:</w:t>
            </w:r>
            <w:r>
              <w:br/>
            </w:r>
            <w:r w:rsidR="00775CA3">
              <w:t xml:space="preserve">The practice offers a range of appointments to patients.   </w:t>
            </w:r>
            <w:r w:rsidR="00DF0B48">
              <w:t xml:space="preserve">Where possible we invite patients to attend in person, in person appointments have the following advantages: </w:t>
            </w:r>
          </w:p>
          <w:p w:rsidR="00DF0B48" w:rsidP="00DF0B48" w:rsidRDefault="00DF0B48" w14:paraId="44DE43C1" w14:textId="5384D8FD">
            <w:pPr>
              <w:pStyle w:val="ListParagraph"/>
              <w:numPr>
                <w:ilvl w:val="0"/>
                <w:numId w:val="19"/>
              </w:numPr>
            </w:pPr>
            <w:r>
              <w:t xml:space="preserve">For the doctor, additional equipment and resources available in consulting rooms, IT and records available more readily, emergency medication is available if required, support of other staff and colleagues. </w:t>
            </w:r>
          </w:p>
          <w:p w:rsidR="00DF0B48" w:rsidP="00DF0B48" w:rsidRDefault="00DF0B48" w14:paraId="590BFB4E" w14:textId="583D3949">
            <w:pPr>
              <w:pStyle w:val="ListParagraph"/>
              <w:numPr>
                <w:ilvl w:val="0"/>
                <w:numId w:val="19"/>
              </w:numPr>
            </w:pPr>
            <w:r>
              <w:t xml:space="preserve">For the patient, more likely to see a clinician of their choosing and reinforces a patient can get out and experience benefits to mental health and independence.  </w:t>
            </w:r>
          </w:p>
          <w:p w:rsidR="00DF0B48" w:rsidP="00DF0B48" w:rsidRDefault="00DF0B48" w14:paraId="7B211C25" w14:textId="77777777"/>
          <w:p w:rsidR="00DF0B48" w:rsidP="00DF0B48" w:rsidRDefault="00DF0B48" w14:paraId="4D281B89" w14:textId="3655CAF4">
            <w:r w:rsidR="00DF0B48">
              <w:rPr/>
              <w:t>A home visit takes more time (factoring in travel times of the clinician to and from the patient’s home address, we could do several in person appointments for the cost of one home visit) and may mean an examination is done outside the standard consulting roo</w:t>
            </w:r>
            <w:r w:rsidR="003D2779">
              <w:rPr/>
              <w:t>m and access to additional equipment</w:t>
            </w:r>
            <w:r w:rsidR="00DF0B48">
              <w:rPr/>
              <w:t xml:space="preserve">.  </w:t>
            </w:r>
          </w:p>
          <w:p w:rsidR="00DF0B48" w:rsidP="00AF60BF" w:rsidRDefault="00DF0B48" w14:paraId="30774971" w14:textId="77777777"/>
          <w:p w:rsidR="006F3465" w:rsidP="00AF60BF" w:rsidRDefault="00775CA3" w14:paraId="32F965F5" w14:textId="2B2E7DDA">
            <w:r w:rsidR="00775CA3">
              <w:rPr/>
              <w:t xml:space="preserve">For patients who are unable to attend the </w:t>
            </w:r>
            <w:r w:rsidR="0BD7065B">
              <w:rPr/>
              <w:t>surgery,</w:t>
            </w:r>
            <w:r w:rsidR="00775CA3">
              <w:rPr/>
              <w:t xml:space="preserve"> but who require medical assessment, they may request a home visit.  To meet the threshold for a visit, a patient must be: </w:t>
            </w:r>
          </w:p>
          <w:p w:rsidR="00775CA3" w:rsidP="00775CA3" w:rsidRDefault="00775CA3" w14:paraId="6E2284F0" w14:textId="2AC8B279">
            <w:pPr>
              <w:pStyle w:val="ListParagraph"/>
              <w:numPr>
                <w:ilvl w:val="0"/>
                <w:numId w:val="18"/>
              </w:numPr>
            </w:pPr>
            <w:r>
              <w:t xml:space="preserve">Defined as housebound (this may be temporary i.e. recovering from an injury, or persistent i.e. a patient in a care home). </w:t>
            </w:r>
          </w:p>
          <w:p w:rsidR="00775CA3" w:rsidP="00775CA3" w:rsidRDefault="00775CA3" w14:paraId="1CA71793" w14:textId="7CF94D67">
            <w:pPr>
              <w:pStyle w:val="ListParagraph"/>
              <w:numPr>
                <w:ilvl w:val="0"/>
                <w:numId w:val="18"/>
              </w:numPr>
            </w:pPr>
            <w:r>
              <w:t>Living within the practice area (we cannot do home visits for patients outside the practice area)</w:t>
            </w:r>
          </w:p>
          <w:p w:rsidR="00775CA3" w:rsidP="00775CA3" w:rsidRDefault="00775CA3" w14:paraId="49F756A2" w14:textId="7E7B490D">
            <w:pPr>
              <w:pStyle w:val="ListParagraph"/>
              <w:numPr>
                <w:ilvl w:val="0"/>
                <w:numId w:val="18"/>
              </w:numPr>
            </w:pPr>
            <w:r>
              <w:t xml:space="preserve">Determined by the clinician as requiring a home visit.  </w:t>
            </w:r>
          </w:p>
          <w:p w:rsidR="00DF0B48" w:rsidP="006F3465" w:rsidRDefault="00DF0B48" w14:paraId="302647EE" w14:textId="77777777"/>
          <w:p w:rsidR="00DF0B48" w:rsidP="006F3465" w:rsidRDefault="00DF0B48" w14:paraId="43ABDC50" w14:textId="28EA781F">
            <w:r>
              <w:t xml:space="preserve">A person is determined as housebound through routine assessment or when self-declared by a patient.  A housebound status can change over </w:t>
            </w:r>
            <w:r w:rsidR="001E6959">
              <w:t>time,</w:t>
            </w:r>
            <w:r>
              <w:t xml:space="preserve"> and we keep such patients under review.   The final decision on if a home visit is required rests with the clinician</w:t>
            </w:r>
            <w:r w:rsidR="001E6959">
              <w:t>(s)</w:t>
            </w:r>
            <w:r>
              <w:t xml:space="preserve"> based on the facts of the case.  </w:t>
            </w:r>
          </w:p>
          <w:p w:rsidR="00DF0B48" w:rsidP="006F3465" w:rsidRDefault="00DF0B48" w14:paraId="487A9EEE" w14:textId="77777777"/>
          <w:p w:rsidR="00DF0B48" w:rsidP="006F3465" w:rsidRDefault="001E6959" w14:paraId="4A7767B0" w14:textId="79ACD15B">
            <w:r w:rsidR="001E6959">
              <w:rPr/>
              <w:t xml:space="preserve">The local area and ICB have multiple commissioned services in place for patients who are housebound, such as District Nurses, Community Physios and Occupational Therapists, Speech and Language Therapists, Tissue Viability nurses, diabetic nurses, paramedics for visiting and more.  The practice may </w:t>
            </w:r>
            <w:r w:rsidR="001E6959">
              <w:rPr/>
              <w:t xml:space="preserve">refer to any one or more of these services to provide either </w:t>
            </w:r>
            <w:r w:rsidR="001E6959">
              <w:rPr/>
              <w:t>an initial</w:t>
            </w:r>
            <w:r w:rsidR="001E6959">
              <w:rPr/>
              <w:t xml:space="preserve"> assessment or ongoing care</w:t>
            </w:r>
            <w:r w:rsidR="003D2779">
              <w:rPr/>
              <w:t xml:space="preserve">. </w:t>
            </w:r>
          </w:p>
          <w:p w:rsidR="001E6959" w:rsidP="006F3465" w:rsidRDefault="001E6959" w14:paraId="5803BA0C" w14:textId="3771E939"/>
        </w:tc>
      </w:tr>
      <w:tr w:rsidR="006F3465" w:rsidTr="06C37C59" w14:paraId="7DBCC005" w14:textId="77777777">
        <w:tc>
          <w:tcPr>
            <w:tcW w:w="863" w:type="dxa"/>
            <w:gridSpan w:val="2"/>
            <w:shd w:val="clear" w:color="auto" w:fill="F2F2F2" w:themeFill="background1" w:themeFillShade="F2"/>
            <w:tcMar/>
          </w:tcPr>
          <w:p w:rsidRPr="00253F16" w:rsidR="006F3465" w:rsidRDefault="006F3465" w14:paraId="3C979638" w14:textId="24C93C4D">
            <w:pPr>
              <w:rPr>
                <w:b/>
                <w:bCs/>
              </w:rPr>
            </w:pPr>
            <w:r w:rsidRPr="00253F16">
              <w:rPr>
                <w:b/>
                <w:bCs/>
              </w:rPr>
              <w:t>6</w:t>
            </w:r>
          </w:p>
        </w:tc>
        <w:tc>
          <w:tcPr>
            <w:tcW w:w="8153" w:type="dxa"/>
            <w:tcMar/>
          </w:tcPr>
          <w:p w:rsidRPr="006F3465" w:rsidR="006F3465" w:rsidRDefault="006F3465" w14:paraId="5EFB8DCA" w14:textId="77777777">
            <w:pPr>
              <w:rPr>
                <w:b/>
                <w:bCs/>
                <w:u w:val="single"/>
              </w:rPr>
            </w:pPr>
            <w:r w:rsidRPr="006F3465">
              <w:rPr>
                <w:b/>
                <w:bCs/>
                <w:u w:val="single"/>
              </w:rPr>
              <w:t>Specific Sections</w:t>
            </w:r>
          </w:p>
          <w:p w:rsidR="006F3465" w:rsidP="00AF60BF" w:rsidRDefault="006F3465" w14:paraId="0ECB5512" w14:textId="5445D043">
            <w:r w:rsidR="006F3465">
              <w:rPr/>
              <w:t xml:space="preserve">The following section will list specific policy information for the following areas. </w:t>
            </w:r>
            <w:r>
              <w:br/>
            </w:r>
            <w:r w:rsidR="006F3465">
              <w:rPr/>
              <w:t xml:space="preserve">6.1: </w:t>
            </w:r>
            <w:r w:rsidR="00DF0B48">
              <w:rPr/>
              <w:t>Eligibility for Home Visit</w:t>
            </w:r>
          </w:p>
          <w:p w:rsidR="0225D085" w:rsidRDefault="0225D085" w14:paraId="4730C675" w14:textId="3E26A67B">
            <w:r w:rsidR="0225D085">
              <w:rPr/>
              <w:t>6.2: Services available from the practice for Home Visit</w:t>
            </w:r>
          </w:p>
          <w:p w:rsidR="001E6959" w:rsidRDefault="001E6959" w14:paraId="4D23765C" w14:textId="35BB8BC6">
            <w:r w:rsidR="001E6959">
              <w:rPr/>
              <w:t>6.</w:t>
            </w:r>
            <w:r w:rsidR="3903E77F">
              <w:rPr/>
              <w:t>3</w:t>
            </w:r>
            <w:r w:rsidR="001E6959">
              <w:rPr/>
              <w:t>: Requesting a Home Visit</w:t>
            </w:r>
          </w:p>
          <w:p w:rsidR="0F464BC6" w:rsidRDefault="0F464BC6" w14:paraId="244C8677" w14:textId="1821DEDB">
            <w:r w:rsidR="0F464BC6">
              <w:rPr/>
              <w:t>6.4: No access Home Visits</w:t>
            </w:r>
          </w:p>
          <w:p w:rsidR="001E6959" w:rsidP="00AF60BF" w:rsidRDefault="001E6959" w14:paraId="1E6AAEB3" w14:textId="31FA3173"/>
        </w:tc>
      </w:tr>
      <w:tr w:rsidR="006F3465" w:rsidTr="06C37C59" w14:paraId="437A4B85" w14:textId="77777777">
        <w:tc>
          <w:tcPr>
            <w:tcW w:w="423" w:type="dxa"/>
            <w:shd w:val="clear" w:color="auto" w:fill="F2F2F2" w:themeFill="background1" w:themeFillShade="F2"/>
            <w:tcMar/>
          </w:tcPr>
          <w:p w:rsidRPr="00253F16" w:rsidR="006F3465" w:rsidRDefault="006F3465" w14:paraId="1BE94D4D" w14:textId="2D277FC6">
            <w:pPr>
              <w:rPr>
                <w:b/>
                <w:bCs/>
              </w:rPr>
            </w:pPr>
            <w:r w:rsidRPr="00253F16">
              <w:rPr>
                <w:b/>
                <w:bCs/>
              </w:rPr>
              <w:t>6.</w:t>
            </w:r>
          </w:p>
        </w:tc>
        <w:tc>
          <w:tcPr>
            <w:tcW w:w="440" w:type="dxa"/>
            <w:shd w:val="clear" w:color="auto" w:fill="F2F2F2" w:themeFill="background1" w:themeFillShade="F2"/>
            <w:tcMar/>
          </w:tcPr>
          <w:p w:rsidRPr="00253F16" w:rsidR="006F3465" w:rsidRDefault="006F3465" w14:paraId="4D1F8C75" w14:textId="179D3C88">
            <w:pPr>
              <w:rPr>
                <w:b/>
                <w:bCs/>
              </w:rPr>
            </w:pPr>
            <w:r w:rsidRPr="00253F16">
              <w:rPr>
                <w:b/>
                <w:bCs/>
              </w:rPr>
              <w:t>1</w:t>
            </w:r>
          </w:p>
        </w:tc>
        <w:tc>
          <w:tcPr>
            <w:tcW w:w="8153" w:type="dxa"/>
            <w:tcMar/>
          </w:tcPr>
          <w:p w:rsidRPr="001E6959" w:rsidR="00C57943" w:rsidP="00C57943" w:rsidRDefault="00AF60BF" w14:paraId="75E8C78E" w14:textId="155374DB">
            <w:pPr>
              <w:rPr>
                <w:b/>
                <w:bCs/>
              </w:rPr>
            </w:pPr>
            <w:commentRangeStart w:id="2"/>
            <w:r w:rsidRPr="06C37C59" w:rsidR="00AF60BF">
              <w:rPr>
                <w:b w:val="1"/>
                <w:bCs w:val="1"/>
              </w:rPr>
              <w:t xml:space="preserve">6.1: </w:t>
            </w:r>
            <w:r w:rsidRPr="06C37C59" w:rsidR="00DF0B48">
              <w:rPr>
                <w:b w:val="1"/>
                <w:bCs w:val="1"/>
              </w:rPr>
              <w:t>Eligibility for Home Visit</w:t>
            </w:r>
          </w:p>
          <w:p w:rsidR="003D2779" w:rsidP="00C57943" w:rsidRDefault="00DF0B48" w14:paraId="006CF22A" w14:textId="38190832">
            <w:r>
              <w:t xml:space="preserve">A patient would be eligible for home visits </w:t>
            </w:r>
            <w:r w:rsidR="003D2779">
              <w:t xml:space="preserve">if. </w:t>
            </w:r>
          </w:p>
          <w:p w:rsidR="003D2779" w:rsidP="00C57943" w:rsidRDefault="001E6959" w14:paraId="3E95191E" w14:textId="77777777">
            <w:r>
              <w:t xml:space="preserve">(1) </w:t>
            </w:r>
            <w:r w:rsidR="00DF0B48">
              <w:t>they meet the definition of “Housebound” as above</w:t>
            </w:r>
            <w:r w:rsidR="003D2779">
              <w:t>, and</w:t>
            </w:r>
          </w:p>
          <w:p w:rsidR="003D2779" w:rsidP="00C57943" w:rsidRDefault="003D2779" w14:paraId="5FAFECFB" w14:textId="77777777">
            <w:r>
              <w:t>(2) are living within the practice boundary, and</w:t>
            </w:r>
            <w:r w:rsidR="00DF0B48">
              <w:t xml:space="preserve"> </w:t>
            </w:r>
          </w:p>
          <w:p w:rsidR="00DF0B48" w:rsidP="00C57943" w:rsidRDefault="001E6959" w14:paraId="2FE2DA7C" w14:textId="78F164AB">
            <w:r w:rsidR="001E6959">
              <w:rPr/>
              <w:t>(</w:t>
            </w:r>
            <w:r w:rsidR="003D2779">
              <w:rPr/>
              <w:t>3</w:t>
            </w:r>
            <w:r w:rsidR="001E6959">
              <w:rPr/>
              <w:t xml:space="preserve">) the clinician agree they require a visit to meet reasonable needs of the patient.  </w:t>
            </w:r>
            <w:commentRangeEnd w:id="2"/>
            <w:r>
              <w:rPr>
                <w:rStyle w:val="CommentReference"/>
              </w:rPr>
              <w:commentReference w:id="2"/>
            </w:r>
          </w:p>
          <w:p w:rsidR="001E6959" w:rsidP="00C57943" w:rsidRDefault="001E6959" w14:paraId="2AE0E299" w14:textId="752CB61C"/>
          <w:p w:rsidR="001E6959" w:rsidP="00C57943" w:rsidRDefault="001E6959" w14:paraId="4E5C3C18" w14:textId="7E4BF4A7">
            <w:r w:rsidR="1EFB0682">
              <w:rPr/>
              <w:t xml:space="preserve">We recognise that patients may not be housebound all the time and the practice will keep such cases under review.  </w:t>
            </w:r>
          </w:p>
        </w:tc>
      </w:tr>
      <w:tr w:rsidR="06C37C59" w:rsidTr="06C37C59" w14:paraId="4707E5A5">
        <w:trPr>
          <w:trHeight w:val="300"/>
        </w:trPr>
        <w:tc>
          <w:tcPr>
            <w:tcW w:w="423" w:type="dxa"/>
            <w:shd w:val="clear" w:color="auto" w:fill="F2F2F2" w:themeFill="background1" w:themeFillShade="F2"/>
            <w:tcMar/>
          </w:tcPr>
          <w:p w:rsidR="06C37C59" w:rsidP="06C37C59" w:rsidRDefault="06C37C59" w14:paraId="464A9E10" w14:textId="4E8BBC61">
            <w:pPr>
              <w:pStyle w:val="Normal"/>
              <w:rPr>
                <w:b w:val="1"/>
                <w:bCs w:val="1"/>
              </w:rPr>
            </w:pPr>
          </w:p>
        </w:tc>
        <w:tc>
          <w:tcPr>
            <w:tcW w:w="440" w:type="dxa"/>
            <w:shd w:val="clear" w:color="auto" w:fill="F2F2F2" w:themeFill="background1" w:themeFillShade="F2"/>
            <w:tcMar/>
          </w:tcPr>
          <w:p w:rsidR="1EFB0682" w:rsidP="06C37C59" w:rsidRDefault="1EFB0682" w14:paraId="46F82297" w14:textId="61739EFB">
            <w:pPr>
              <w:pStyle w:val="Normal"/>
              <w:rPr>
                <w:b w:val="1"/>
                <w:bCs w:val="1"/>
              </w:rPr>
            </w:pPr>
            <w:r w:rsidRPr="06C37C59" w:rsidR="1EFB0682">
              <w:rPr>
                <w:b w:val="1"/>
                <w:bCs w:val="1"/>
              </w:rPr>
              <w:t>2</w:t>
            </w:r>
          </w:p>
        </w:tc>
        <w:tc>
          <w:tcPr>
            <w:tcW w:w="8153" w:type="dxa"/>
            <w:tcMar/>
          </w:tcPr>
          <w:p w:rsidR="1EFB0682" w:rsidP="06C37C59" w:rsidRDefault="1EFB0682" w14:paraId="6ED47780" w14:textId="48E9A5E7">
            <w:pPr>
              <w:pStyle w:val="Normal"/>
              <w:rPr>
                <w:b w:val="1"/>
                <w:bCs w:val="1"/>
              </w:rPr>
            </w:pPr>
            <w:r w:rsidRPr="06C37C59" w:rsidR="1EFB0682">
              <w:rPr>
                <w:b w:val="1"/>
                <w:bCs w:val="1"/>
              </w:rPr>
              <w:t>6.2: Services available from the practice for Home Visit</w:t>
            </w:r>
          </w:p>
          <w:p w:rsidR="47879B47" w:rsidP="06C37C59" w:rsidRDefault="47879B47" w14:paraId="0EA82809" w14:textId="347F6D20">
            <w:pPr>
              <w:pStyle w:val="Normal"/>
              <w:rPr>
                <w:b w:val="0"/>
                <w:bCs w:val="0"/>
                <w:u w:val="none"/>
              </w:rPr>
            </w:pPr>
            <w:r w:rsidR="47879B47">
              <w:rPr>
                <w:b w:val="0"/>
                <w:bCs w:val="0"/>
                <w:u w:val="none"/>
              </w:rPr>
              <w:t>The practice offers the following services via home visit.</w:t>
            </w:r>
          </w:p>
          <w:p w:rsidR="47879B47" w:rsidP="06C37C59" w:rsidRDefault="47879B47" w14:paraId="3205AB93" w14:textId="34FA4F64">
            <w:pPr>
              <w:pStyle w:val="ListParagraph"/>
              <w:numPr>
                <w:ilvl w:val="0"/>
                <w:numId w:val="20"/>
              </w:numPr>
              <w:rPr>
                <w:b w:val="0"/>
                <w:bCs w:val="0"/>
                <w:u w:val="none"/>
              </w:rPr>
            </w:pPr>
            <w:r w:rsidR="47879B47">
              <w:rPr>
                <w:b w:val="0"/>
                <w:bCs w:val="0"/>
                <w:u w:val="none"/>
              </w:rPr>
              <w:t>GP Visits</w:t>
            </w:r>
          </w:p>
          <w:p w:rsidR="47879B47" w:rsidP="06C37C59" w:rsidRDefault="47879B47" w14:paraId="65A83298" w14:textId="22612D10">
            <w:pPr>
              <w:pStyle w:val="ListParagraph"/>
              <w:numPr>
                <w:ilvl w:val="0"/>
                <w:numId w:val="20"/>
              </w:numPr>
              <w:rPr>
                <w:b w:val="0"/>
                <w:bCs w:val="0"/>
                <w:u w:val="none"/>
              </w:rPr>
            </w:pPr>
            <w:r w:rsidR="47879B47">
              <w:rPr>
                <w:b w:val="0"/>
                <w:bCs w:val="0"/>
                <w:u w:val="none"/>
              </w:rPr>
              <w:t>HCA visits (for home blood tests, vaccinations and home diabetic foot checks)</w:t>
            </w:r>
          </w:p>
          <w:p w:rsidR="47879B47" w:rsidP="06C37C59" w:rsidRDefault="47879B47" w14:paraId="6DB5BDD2" w14:textId="0873ECF8">
            <w:pPr>
              <w:pStyle w:val="ListParagraph"/>
              <w:numPr>
                <w:ilvl w:val="0"/>
                <w:numId w:val="20"/>
              </w:numPr>
              <w:rPr>
                <w:b w:val="0"/>
                <w:bCs w:val="0"/>
                <w:u w:val="none"/>
              </w:rPr>
            </w:pPr>
            <w:r w:rsidR="47879B47">
              <w:rPr>
                <w:b w:val="0"/>
                <w:bCs w:val="0"/>
                <w:u w:val="none"/>
              </w:rPr>
              <w:t xml:space="preserve">Nurse visits (for vaccinations, wound </w:t>
            </w:r>
            <w:r w:rsidR="47879B47">
              <w:rPr>
                <w:b w:val="0"/>
                <w:bCs w:val="0"/>
                <w:u w:val="none"/>
              </w:rPr>
              <w:t>checks</w:t>
            </w:r>
            <w:r w:rsidR="47879B47">
              <w:rPr>
                <w:b w:val="0"/>
                <w:bCs w:val="0"/>
                <w:u w:val="none"/>
              </w:rPr>
              <w:t xml:space="preserve"> and long-term condition reviews).</w:t>
            </w:r>
          </w:p>
          <w:p w:rsidR="06C37C59" w:rsidP="06C37C59" w:rsidRDefault="06C37C59" w14:paraId="0F027E68" w14:textId="2C17FF84">
            <w:pPr>
              <w:pStyle w:val="Normal"/>
              <w:ind w:left="0"/>
              <w:rPr>
                <w:b w:val="0"/>
                <w:bCs w:val="0"/>
                <w:u w:val="none"/>
              </w:rPr>
            </w:pPr>
          </w:p>
          <w:p w:rsidR="5AEF6005" w:rsidP="06C37C59" w:rsidRDefault="5AEF6005" w14:paraId="006DA348" w14:textId="277B455D">
            <w:pPr>
              <w:pStyle w:val="Normal"/>
              <w:ind w:left="0"/>
              <w:rPr>
                <w:b w:val="0"/>
                <w:bCs w:val="0"/>
                <w:u w:val="none"/>
              </w:rPr>
            </w:pPr>
            <w:r w:rsidR="5AEF6005">
              <w:rPr>
                <w:b w:val="0"/>
                <w:bCs w:val="0"/>
                <w:u w:val="none"/>
              </w:rPr>
              <w:t xml:space="preserve">The services above may also be offered by other services such as district nurses and the practice may refer to one or more of these services if we feel they are better placed to </w:t>
            </w:r>
            <w:r w:rsidR="5AEF6005">
              <w:rPr>
                <w:b w:val="0"/>
                <w:bCs w:val="0"/>
                <w:u w:val="none"/>
              </w:rPr>
              <w:t>assist</w:t>
            </w:r>
            <w:r w:rsidR="5AEF6005">
              <w:rPr>
                <w:b w:val="0"/>
                <w:bCs w:val="0"/>
                <w:u w:val="none"/>
              </w:rPr>
              <w:t xml:space="preserve"> this patient. </w:t>
            </w:r>
          </w:p>
          <w:p w:rsidR="47879B47" w:rsidP="06C37C59" w:rsidRDefault="47879B47" w14:paraId="2A517ED5" w14:textId="2B2EF4FB">
            <w:pPr>
              <w:pStyle w:val="Normal"/>
              <w:ind w:left="0"/>
              <w:rPr>
                <w:b w:val="0"/>
                <w:bCs w:val="0"/>
                <w:u w:val="none"/>
              </w:rPr>
            </w:pPr>
            <w:r w:rsidR="47879B47">
              <w:rPr>
                <w:b w:val="0"/>
                <w:bCs w:val="0"/>
                <w:u w:val="none"/>
              </w:rPr>
              <w:t xml:space="preserve"> </w:t>
            </w:r>
          </w:p>
        </w:tc>
      </w:tr>
      <w:tr w:rsidR="006F3465" w:rsidTr="06C37C59" w14:paraId="7A552A58" w14:textId="77777777">
        <w:tc>
          <w:tcPr>
            <w:tcW w:w="423" w:type="dxa"/>
            <w:shd w:val="clear" w:color="auto" w:fill="F2F2F2" w:themeFill="background1" w:themeFillShade="F2"/>
            <w:tcMar/>
          </w:tcPr>
          <w:p w:rsidRPr="00253F16" w:rsidR="006F3465" w:rsidRDefault="006F3465" w14:paraId="31D6C257" w14:textId="52338563">
            <w:pPr>
              <w:rPr>
                <w:b w:val="1"/>
                <w:bCs w:val="1"/>
              </w:rPr>
            </w:pPr>
          </w:p>
        </w:tc>
        <w:tc>
          <w:tcPr>
            <w:tcW w:w="440" w:type="dxa"/>
            <w:shd w:val="clear" w:color="auto" w:fill="F2F2F2" w:themeFill="background1" w:themeFillShade="F2"/>
            <w:tcMar/>
          </w:tcPr>
          <w:p w:rsidRPr="00253F16" w:rsidR="006F3465" w:rsidRDefault="006F3465" w14:paraId="16EA574E" w14:textId="2B4BB425">
            <w:pPr>
              <w:rPr>
                <w:b w:val="1"/>
                <w:bCs w:val="1"/>
              </w:rPr>
            </w:pPr>
            <w:r w:rsidRPr="06C37C59" w:rsidR="1EFB0682">
              <w:rPr>
                <w:b w:val="1"/>
                <w:bCs w:val="1"/>
              </w:rPr>
              <w:t>3</w:t>
            </w:r>
          </w:p>
        </w:tc>
        <w:tc>
          <w:tcPr>
            <w:tcW w:w="8153" w:type="dxa"/>
            <w:tcMar/>
          </w:tcPr>
          <w:p w:rsidRPr="001E6959" w:rsidR="002A71EB" w:rsidP="006F3465" w:rsidRDefault="001E6959" w14:paraId="1FB96DC6" w14:textId="7F809D18">
            <w:pPr>
              <w:rPr>
                <w:b w:val="1"/>
                <w:bCs w:val="1"/>
              </w:rPr>
            </w:pPr>
            <w:commentRangeStart w:id="3"/>
            <w:r w:rsidRPr="06C37C59" w:rsidR="001E6959">
              <w:rPr>
                <w:b w:val="1"/>
                <w:bCs w:val="1"/>
              </w:rPr>
              <w:t>6.</w:t>
            </w:r>
            <w:r w:rsidRPr="06C37C59" w:rsidR="57CAEB07">
              <w:rPr>
                <w:b w:val="1"/>
                <w:bCs w:val="1"/>
              </w:rPr>
              <w:t>3</w:t>
            </w:r>
            <w:r w:rsidRPr="06C37C59" w:rsidR="001E6959">
              <w:rPr>
                <w:b w:val="1"/>
                <w:bCs w:val="1"/>
              </w:rPr>
              <w:t>: Requesting a Home Visit</w:t>
            </w:r>
          </w:p>
          <w:p w:rsidR="001E6959" w:rsidP="006F3465" w:rsidRDefault="001E6959" w14:paraId="25EC7402" w14:textId="77777777">
            <w:r>
              <w:t xml:space="preserve">- A patient (or proxy) may request a home visit in the same manner as any other appointment request, either in person (via proxy), over the phone or by electronic means.  </w:t>
            </w:r>
          </w:p>
          <w:p w:rsidR="001E6959" w:rsidP="006F3465" w:rsidRDefault="001E6959" w14:paraId="3111BA01" w14:textId="576F6146">
            <w:r>
              <w:t xml:space="preserve">- The request will be triaged and reviewed by the duty GP team.  </w:t>
            </w:r>
          </w:p>
          <w:p w:rsidR="001E6959" w:rsidP="006F3465" w:rsidRDefault="001E6959" w14:paraId="284CDB18" w14:textId="6FE9BC56">
            <w:r>
              <w:t xml:space="preserve">- Visits may be allocated as same day or routine/pre-planned depending on the clinical urgency.  </w:t>
            </w:r>
          </w:p>
          <w:p w:rsidR="001E6959" w:rsidP="006F3465" w:rsidRDefault="001E6959" w14:paraId="7E347266" w14:textId="0586D2A1">
            <w:r w:rsidR="001E6959">
              <w:rPr/>
              <w:t xml:space="preserve">- The final decision is a clinical one and rests with the clinician(s) involved.   </w:t>
            </w:r>
            <w:commentRangeEnd w:id="3"/>
            <w:r>
              <w:rPr>
                <w:rStyle w:val="CommentReference"/>
              </w:rPr>
              <w:commentReference w:id="3"/>
            </w:r>
          </w:p>
          <w:p w:rsidR="001E6959" w:rsidP="006F3465" w:rsidRDefault="001E6959" w14:paraId="3723FAB1" w14:textId="4F7AAA45"/>
        </w:tc>
      </w:tr>
      <w:tr w:rsidR="06C37C59" w:rsidTr="06C37C59" w14:paraId="2BBF9648">
        <w:trPr>
          <w:trHeight w:val="300"/>
        </w:trPr>
        <w:tc>
          <w:tcPr>
            <w:tcW w:w="423" w:type="dxa"/>
            <w:shd w:val="clear" w:color="auto" w:fill="F2F2F2" w:themeFill="background1" w:themeFillShade="F2"/>
            <w:tcMar/>
          </w:tcPr>
          <w:p w:rsidR="06C37C59" w:rsidP="06C37C59" w:rsidRDefault="06C37C59" w14:paraId="709E4133" w14:textId="0C396A6F">
            <w:pPr>
              <w:pStyle w:val="Normal"/>
              <w:rPr>
                <w:b w:val="1"/>
                <w:bCs w:val="1"/>
              </w:rPr>
            </w:pPr>
          </w:p>
        </w:tc>
        <w:tc>
          <w:tcPr>
            <w:tcW w:w="440" w:type="dxa"/>
            <w:shd w:val="clear" w:color="auto" w:fill="F2F2F2" w:themeFill="background1" w:themeFillShade="F2"/>
            <w:tcMar/>
          </w:tcPr>
          <w:p w:rsidR="12837264" w:rsidP="06C37C59" w:rsidRDefault="12837264" w14:paraId="4F0A796D" w14:textId="0F513201">
            <w:pPr>
              <w:pStyle w:val="Normal"/>
              <w:rPr>
                <w:b w:val="1"/>
                <w:bCs w:val="1"/>
              </w:rPr>
            </w:pPr>
            <w:r w:rsidRPr="06C37C59" w:rsidR="12837264">
              <w:rPr>
                <w:b w:val="1"/>
                <w:bCs w:val="1"/>
              </w:rPr>
              <w:t>4</w:t>
            </w:r>
          </w:p>
        </w:tc>
        <w:tc>
          <w:tcPr>
            <w:tcW w:w="8153" w:type="dxa"/>
            <w:tcMar/>
          </w:tcPr>
          <w:p w:rsidR="12837264" w:rsidP="06C37C59" w:rsidRDefault="12837264" w14:paraId="4A3B2E86" w14:textId="7B2532CF">
            <w:pPr>
              <w:pStyle w:val="Normal"/>
              <w:rPr>
                <w:b w:val="1"/>
                <w:bCs w:val="1"/>
                <w:u w:val="single"/>
              </w:rPr>
            </w:pPr>
            <w:r w:rsidRPr="06C37C59" w:rsidR="12837264">
              <w:rPr>
                <w:b w:val="1"/>
                <w:bCs w:val="1"/>
                <w:u w:val="single"/>
              </w:rPr>
              <w:t>6.4: No access Home Visits</w:t>
            </w:r>
          </w:p>
          <w:p w:rsidR="12837264" w:rsidP="06C37C59" w:rsidRDefault="12837264" w14:paraId="0F5FD401" w14:textId="36A15EEB">
            <w:pPr>
              <w:pStyle w:val="Normal"/>
              <w:rPr>
                <w:b w:val="0"/>
                <w:bCs w:val="0"/>
                <w:u w:val="none"/>
              </w:rPr>
            </w:pPr>
            <w:r w:rsidR="12837264">
              <w:rPr>
                <w:b w:val="0"/>
                <w:bCs w:val="0"/>
                <w:u w:val="none"/>
              </w:rPr>
              <w:t xml:space="preserve">A no access </w:t>
            </w:r>
            <w:r w:rsidR="39F7DD2A">
              <w:rPr>
                <w:b w:val="0"/>
                <w:bCs w:val="0"/>
                <w:u w:val="none"/>
              </w:rPr>
              <w:t xml:space="preserve">home </w:t>
            </w:r>
            <w:r w:rsidR="12837264">
              <w:rPr>
                <w:b w:val="0"/>
                <w:bCs w:val="0"/>
                <w:u w:val="none"/>
              </w:rPr>
              <w:t xml:space="preserve">visit is defined as when a home visit is requested but on arrival at the correct address, the patient is not in.  There may be legitimate reasons for this i.e. the patient was admitted to </w:t>
            </w:r>
            <w:r w:rsidR="5BADC7F2">
              <w:rPr>
                <w:b w:val="0"/>
                <w:bCs w:val="0"/>
                <w:u w:val="none"/>
              </w:rPr>
              <w:t>hospital,</w:t>
            </w:r>
            <w:r w:rsidR="12837264">
              <w:rPr>
                <w:b w:val="0"/>
                <w:bCs w:val="0"/>
                <w:u w:val="none"/>
              </w:rPr>
              <w:t xml:space="preserve"> and we were not made aware, however we have also come across times when th</w:t>
            </w:r>
            <w:r w:rsidR="58919596">
              <w:rPr>
                <w:b w:val="0"/>
                <w:bCs w:val="0"/>
                <w:u w:val="none"/>
              </w:rPr>
              <w:t xml:space="preserve">e patient was not truly housebound and was out and about, or had been taken by family members elsewhere that day. </w:t>
            </w:r>
            <w:r w:rsidR="7805E906">
              <w:rPr>
                <w:b w:val="0"/>
                <w:bCs w:val="0"/>
                <w:u w:val="none"/>
              </w:rPr>
              <w:t xml:space="preserve">This </w:t>
            </w:r>
            <w:r w:rsidR="4C4199F4">
              <w:rPr>
                <w:b w:val="0"/>
                <w:bCs w:val="0"/>
                <w:u w:val="none"/>
              </w:rPr>
              <w:t>represents</w:t>
            </w:r>
            <w:r w:rsidR="7805E906">
              <w:rPr>
                <w:b w:val="0"/>
                <w:bCs w:val="0"/>
                <w:u w:val="none"/>
              </w:rPr>
              <w:t xml:space="preserve"> a waste of the clinicians time (more than a standard in person appointment at the practice as one needs to factor in travel time and the </w:t>
            </w:r>
            <w:r w:rsidR="1612CE1C">
              <w:rPr>
                <w:b w:val="0"/>
                <w:bCs w:val="0"/>
                <w:u w:val="none"/>
              </w:rPr>
              <w:t>preparation</w:t>
            </w:r>
            <w:r w:rsidR="7805E906">
              <w:rPr>
                <w:b w:val="0"/>
                <w:bCs w:val="0"/>
                <w:u w:val="none"/>
              </w:rPr>
              <w:t xml:space="preserve"> of any equipment that the clinician needs to take to the visit) and has a detrimental effect on other patients by wasting resources we can otherwise use elsewhere.  </w:t>
            </w:r>
          </w:p>
          <w:p w:rsidR="06C37C59" w:rsidP="06C37C59" w:rsidRDefault="06C37C59" w14:paraId="4F554760" w14:textId="2BA20180">
            <w:pPr>
              <w:pStyle w:val="Normal"/>
              <w:rPr>
                <w:b w:val="0"/>
                <w:bCs w:val="0"/>
                <w:u w:val="none"/>
              </w:rPr>
            </w:pPr>
          </w:p>
          <w:p w:rsidR="7805E906" w:rsidP="06C37C59" w:rsidRDefault="7805E906" w14:paraId="4E818450" w14:textId="5273D494">
            <w:pPr>
              <w:pStyle w:val="Normal"/>
              <w:rPr>
                <w:b w:val="0"/>
                <w:bCs w:val="0"/>
                <w:u w:val="none"/>
              </w:rPr>
            </w:pPr>
            <w:r w:rsidR="7805E906">
              <w:rPr>
                <w:b w:val="0"/>
                <w:bCs w:val="0"/>
                <w:u w:val="none"/>
              </w:rPr>
              <w:t xml:space="preserve">In these </w:t>
            </w:r>
            <w:r w:rsidR="7D17BE46">
              <w:rPr>
                <w:b w:val="0"/>
                <w:bCs w:val="0"/>
                <w:u w:val="none"/>
              </w:rPr>
              <w:t>instances,</w:t>
            </w:r>
            <w:r w:rsidR="7805E906">
              <w:rPr>
                <w:b w:val="0"/>
                <w:bCs w:val="0"/>
                <w:u w:val="none"/>
              </w:rPr>
              <w:t xml:space="preserve"> the practice will investigate.  Where a no access home visit was found due to the patient not being housebound, the status of that patient will be updated </w:t>
            </w:r>
            <w:r w:rsidR="0A74EF7A">
              <w:rPr>
                <w:b w:val="0"/>
                <w:bCs w:val="0"/>
                <w:u w:val="none"/>
              </w:rPr>
              <w:t>accordingly,</w:t>
            </w:r>
            <w:r w:rsidR="7805E906">
              <w:rPr>
                <w:b w:val="0"/>
                <w:bCs w:val="0"/>
                <w:u w:val="none"/>
              </w:rPr>
              <w:t xml:space="preserve"> and they would be asked to attend future appointments.  </w:t>
            </w:r>
            <w:r w:rsidR="4C75FCF2">
              <w:rPr>
                <w:b w:val="0"/>
                <w:bCs w:val="0"/>
                <w:u w:val="none"/>
              </w:rPr>
              <w:t xml:space="preserve">Such episodes would also count as “Did not attend” (see DNA policy) which may trigger </w:t>
            </w:r>
            <w:r w:rsidR="4C75FCF2">
              <w:rPr>
                <w:b w:val="0"/>
                <w:bCs w:val="0"/>
                <w:u w:val="none"/>
              </w:rPr>
              <w:t>additional</w:t>
            </w:r>
            <w:r w:rsidR="4C75FCF2">
              <w:rPr>
                <w:b w:val="0"/>
                <w:bCs w:val="0"/>
                <w:u w:val="none"/>
              </w:rPr>
              <w:t xml:space="preserve"> communications from the practice about the importance of attending appointments and the effects of non-attendance. </w:t>
            </w:r>
          </w:p>
          <w:p w:rsidR="06C37C59" w:rsidP="06C37C59" w:rsidRDefault="06C37C59" w14:paraId="4D06972C" w14:textId="55CE0142">
            <w:pPr>
              <w:pStyle w:val="Normal"/>
              <w:rPr>
                <w:b w:val="0"/>
                <w:bCs w:val="0"/>
                <w:u w:val="none"/>
              </w:rPr>
            </w:pPr>
          </w:p>
        </w:tc>
      </w:tr>
      <w:tr w:rsidR="006E5D73" w:rsidTr="06C37C59" w14:paraId="3ADC0608" w14:textId="77777777">
        <w:tc>
          <w:tcPr>
            <w:tcW w:w="863" w:type="dxa"/>
            <w:gridSpan w:val="2"/>
            <w:shd w:val="clear" w:color="auto" w:fill="F2F2F2" w:themeFill="background1" w:themeFillShade="F2"/>
            <w:tcMar/>
          </w:tcPr>
          <w:p w:rsidRPr="00253F16" w:rsidR="006E5D73" w:rsidP="006E5D73" w:rsidRDefault="006E5D73" w14:paraId="549E072F" w14:textId="04E872B8">
            <w:pPr>
              <w:rPr>
                <w:b/>
                <w:bCs/>
              </w:rPr>
            </w:pPr>
            <w:r w:rsidRPr="00253F16">
              <w:rPr>
                <w:b/>
                <w:bCs/>
              </w:rPr>
              <w:t>7</w:t>
            </w:r>
          </w:p>
        </w:tc>
        <w:tc>
          <w:tcPr>
            <w:tcW w:w="8153" w:type="dxa"/>
            <w:tcMar/>
          </w:tcPr>
          <w:p w:rsidRPr="006C1A57" w:rsidR="006E5D73" w:rsidP="006E5D73" w:rsidRDefault="006E5D73" w14:paraId="0BC2F33B" w14:textId="50399FF4">
            <w:pPr>
              <w:rPr>
                <w:b/>
                <w:bCs/>
                <w:u w:val="single"/>
              </w:rPr>
            </w:pPr>
            <w:r w:rsidRPr="006C1A57">
              <w:rPr>
                <w:b/>
                <w:bCs/>
                <w:u w:val="single"/>
              </w:rPr>
              <w:t xml:space="preserve">References and </w:t>
            </w:r>
            <w:r>
              <w:rPr>
                <w:b/>
                <w:bCs/>
                <w:u w:val="single"/>
              </w:rPr>
              <w:t>resources</w:t>
            </w:r>
            <w:r w:rsidRPr="006C1A57">
              <w:rPr>
                <w:b/>
                <w:bCs/>
                <w:u w:val="single"/>
              </w:rPr>
              <w:t>:</w:t>
            </w:r>
          </w:p>
          <w:p w:rsidR="006E5D73" w:rsidP="00AF60BF" w:rsidRDefault="003D2779" w14:paraId="757A933F" w14:textId="77777777">
            <w:hyperlink w:history="1" r:id="rId14">
              <w:r w:rsidRPr="003D2779">
                <w:rPr>
                  <w:rStyle w:val="Hyperlink"/>
                </w:rPr>
                <w:t>GP access: meeting the reasonable needs of patients</w:t>
              </w:r>
            </w:hyperlink>
          </w:p>
          <w:p w:rsidR="003D2779" w:rsidP="00AF60BF" w:rsidRDefault="003D2779" w14:paraId="4D8678FB" w14:textId="5EAB6751"/>
        </w:tc>
      </w:tr>
      <w:tr w:rsidR="006E5D73" w:rsidTr="06C37C59" w14:paraId="64B4BDF6" w14:textId="77777777">
        <w:tc>
          <w:tcPr>
            <w:tcW w:w="863" w:type="dxa"/>
            <w:gridSpan w:val="2"/>
            <w:shd w:val="clear" w:color="auto" w:fill="F2F2F2" w:themeFill="background1" w:themeFillShade="F2"/>
            <w:tcMar/>
          </w:tcPr>
          <w:p w:rsidRPr="00253F16" w:rsidR="006E5D73" w:rsidP="006E5D73" w:rsidRDefault="006E5D73" w14:paraId="17C79F12" w14:textId="55A25DBA">
            <w:pPr>
              <w:rPr>
                <w:b/>
                <w:bCs/>
              </w:rPr>
            </w:pPr>
            <w:r w:rsidRPr="00253F16">
              <w:rPr>
                <w:b/>
                <w:bCs/>
              </w:rPr>
              <w:t>8</w:t>
            </w:r>
          </w:p>
        </w:tc>
        <w:tc>
          <w:tcPr>
            <w:tcW w:w="8153" w:type="dxa"/>
            <w:tcMar/>
          </w:tcPr>
          <w:p w:rsidRPr="006C1A57" w:rsidR="006E5D73" w:rsidP="006E5D73" w:rsidRDefault="006E5D73" w14:paraId="3163F585" w14:textId="77777777">
            <w:pPr>
              <w:rPr>
                <w:b/>
                <w:bCs/>
                <w:u w:val="single"/>
              </w:rPr>
            </w:pPr>
            <w:r w:rsidRPr="006C1A57">
              <w:rPr>
                <w:b/>
                <w:bCs/>
                <w:u w:val="single"/>
              </w:rPr>
              <w:t>Feedback and review:</w:t>
            </w:r>
          </w:p>
          <w:p w:rsidR="006E5D73" w:rsidP="006E5D73" w:rsidRDefault="006E5D73" w14:paraId="78DD0DA5" w14:textId="77777777">
            <w:r>
              <w:t xml:space="preserve">This policy will be updated with any changes to practice position of legislation.   Any change of policy will be reflected in this document.  </w:t>
            </w:r>
          </w:p>
          <w:p w:rsidR="006E5D73" w:rsidP="006E5D73" w:rsidRDefault="006E5D73" w14:paraId="5D659A5C" w14:textId="77777777"/>
          <w:p w:rsidR="006E5D73" w:rsidP="006E5D73" w:rsidRDefault="006E5D73" w14:paraId="27AED216" w14:textId="77777777">
            <w:r>
              <w:t xml:space="preserve">If you have specific questions about this, please contact the practice via email: </w:t>
            </w:r>
          </w:p>
          <w:p w:rsidR="006E5D73" w:rsidP="006E5D73" w:rsidRDefault="006E5D73" w14:paraId="602E20FF" w14:textId="128351C5"/>
        </w:tc>
      </w:tr>
      <w:tr w:rsidR="006E5D73" w:rsidTr="06C37C59" w14:paraId="50486CD6" w14:textId="77777777">
        <w:tc>
          <w:tcPr>
            <w:tcW w:w="863" w:type="dxa"/>
            <w:gridSpan w:val="2"/>
            <w:shd w:val="clear" w:color="auto" w:fill="F2F2F2" w:themeFill="background1" w:themeFillShade="F2"/>
            <w:tcMar/>
          </w:tcPr>
          <w:p w:rsidRPr="00253F16" w:rsidR="006E5D73" w:rsidP="006E5D73" w:rsidRDefault="006E5D73" w14:paraId="6A457278" w14:textId="05842663">
            <w:pPr>
              <w:rPr>
                <w:b/>
                <w:bCs/>
              </w:rPr>
            </w:pPr>
            <w:r w:rsidRPr="00253F16">
              <w:rPr>
                <w:b/>
                <w:bCs/>
              </w:rPr>
              <w:t>9</w:t>
            </w:r>
          </w:p>
        </w:tc>
        <w:tc>
          <w:tcPr>
            <w:tcW w:w="8153" w:type="dxa"/>
            <w:tcMar/>
          </w:tcPr>
          <w:p w:rsidRPr="006C1A57" w:rsidR="006E5D73" w:rsidP="006E5D73" w:rsidRDefault="006E5D73" w14:paraId="01F36159" w14:textId="77777777">
            <w:pPr>
              <w:rPr>
                <w:b/>
                <w:bCs/>
              </w:rPr>
            </w:pPr>
            <w:r w:rsidRPr="006C1A57">
              <w:rPr>
                <w:b/>
                <w:bCs/>
              </w:rPr>
              <w:t xml:space="preserve">Changelog: </w:t>
            </w:r>
          </w:p>
          <w:p w:rsidR="006E5D73" w:rsidP="006E5D73" w:rsidRDefault="006E5D73" w14:paraId="38CFFE5A" w14:textId="77777777">
            <w:r>
              <w:t>V1: creation of master policy (baseline)</w:t>
            </w:r>
          </w:p>
          <w:p w:rsidR="006E5D73" w:rsidP="006E5D73" w:rsidRDefault="006E5D73" w14:paraId="054557DD" w14:textId="5F9CCA77"/>
        </w:tc>
      </w:tr>
    </w:tbl>
    <w:p w:rsidR="00C762F8" w:rsidP="00253F16" w:rsidRDefault="00C762F8" w14:paraId="5C82C3AC" w14:textId="752EECE1"/>
    <w:sectPr w:rsidR="00C762F8">
      <w:headerReference w:type="default" r:id="rId15"/>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R" w:author="RAWLINGS, Alex (CARTERKNOWLE DORE MEDICAL PRACTICE)" w:date="2026-04-15T20:09:00Z" w:id="2">
    <w:p w:rsidR="00DA29E0" w:rsidP="00DA29E0" w:rsidRDefault="00DA29E0" w14:paraId="4269591E" w14:textId="77777777">
      <w:pPr>
        <w:pStyle w:val="CommentText"/>
      </w:pPr>
      <w:r>
        <w:rPr>
          <w:rStyle w:val="CommentReference"/>
        </w:rPr>
        <w:annotationRef/>
      </w:r>
      <w:r>
        <w:t>Do we need to say something about for services we provide. i.e. not these hospital wants bloods stuff.</w:t>
      </w:r>
    </w:p>
  </w:comment>
  <w:comment w:initials="AR" w:author="RAWLINGS, Alex (CARTERKNOWLE DORE MEDICAL PRACTICE)" w:date="2026-04-15T20:09:00Z" w:id="3">
    <w:p w:rsidR="00F470EC" w:rsidP="00F470EC" w:rsidRDefault="00F470EC" w14:paraId="5DD6C803" w14:textId="1FC0DFEC">
      <w:pPr>
        <w:pStyle w:val="CommentText"/>
      </w:pPr>
      <w:r>
        <w:rPr>
          <w:rStyle w:val="CommentReference"/>
        </w:rPr>
        <w:annotationRef/>
      </w:r>
      <w:r>
        <w:t xml:space="preserve">The HCAs do an alarming number of visits where the patient is not in. do we want to state an action where this is found to be the case. Maybe reflect that this has a detrimental affect on other patients. </w:t>
      </w:r>
    </w:p>
  </w:comment>
</w:comments>
</file>

<file path=word/commentsExtended.xml><?xml version="1.0" encoding="utf-8"?>
<w15:commentsEx xmlns:mc="http://schemas.openxmlformats.org/markup-compatibility/2006" xmlns:w15="http://schemas.microsoft.com/office/word/2012/wordml" mc:Ignorable="w15">
  <w15:commentEx w15:done="1" w15:paraId="4269591E"/>
  <w15:commentEx w15:done="1" w15:paraId="5DD6C80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8E9F88" w16cex:dateUtc="2026-04-15T19:09:00Z"/>
  <w16cex:commentExtensible w16cex:durableId="62AEA1F1" w16cex:dateUtc="2026-04-15T19:09:00Z"/>
</w16cex:commentsExtensible>
</file>

<file path=word/commentsIds.xml><?xml version="1.0" encoding="utf-8"?>
<w16cid:commentsIds xmlns:mc="http://schemas.openxmlformats.org/markup-compatibility/2006" xmlns:w16cid="http://schemas.microsoft.com/office/word/2016/wordml/cid" mc:Ignorable="w16cid">
  <w16cid:commentId w16cid:paraId="4269591E" w16cid:durableId="018E9F88"/>
  <w16cid:commentId w16cid:paraId="5DD6C803" w16cid:durableId="62AEA1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F16" w:rsidP="00253F16" w:rsidRDefault="00253F16" w14:paraId="578D05CB" w14:textId="77777777">
      <w:pPr>
        <w:spacing w:after="0" w:line="240" w:lineRule="auto"/>
      </w:pPr>
      <w:r>
        <w:separator/>
      </w:r>
    </w:p>
  </w:endnote>
  <w:endnote w:type="continuationSeparator" w:id="0">
    <w:p w:rsidR="00253F16" w:rsidP="00253F16" w:rsidRDefault="00253F16" w14:paraId="4ACFB1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F16" w:rsidP="00253F16" w:rsidRDefault="00253F16" w14:paraId="33753392" w14:textId="77777777">
      <w:pPr>
        <w:spacing w:after="0" w:line="240" w:lineRule="auto"/>
      </w:pPr>
      <w:r>
        <w:separator/>
      </w:r>
    </w:p>
  </w:footnote>
  <w:footnote w:type="continuationSeparator" w:id="0">
    <w:p w:rsidR="00253F16" w:rsidP="00253F16" w:rsidRDefault="00253F16" w14:paraId="6AC82A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3F16" w:rsidR="00253F16" w:rsidRDefault="00253F16" w14:paraId="3A9516EC" w14:textId="68CFD569">
    <w:pPr>
      <w:pStyle w:val="Header"/>
      <w:rPr>
        <w:b/>
        <w:bCs/>
      </w:rPr>
    </w:pPr>
    <w:r w:rsidRPr="00253F16">
      <w:rPr>
        <w:b/>
        <w:bCs/>
      </w:rPr>
      <w:t>POLICY DOCUMENT – CARTERKNOWLE AND DORE MEDICAL PRACTICE</w:t>
    </w:r>
  </w:p>
  <w:p w:rsidRPr="00253F16" w:rsidR="00253F16" w:rsidRDefault="00857BA8" w14:paraId="1BE657ED" w14:textId="46D56500">
    <w:pPr>
      <w:pStyle w:val="Header"/>
      <w:rPr>
        <w:b/>
        <w:bCs/>
      </w:rPr>
    </w:pPr>
    <w:r>
      <w:rPr>
        <w:b/>
        <w:bCs/>
      </w:rPr>
      <w:t>Home Visits</w:t>
    </w:r>
  </w:p>
  <w:sdt>
    <w:sdtPr>
      <w:id w:val="98381352"/>
      <w:docPartObj>
        <w:docPartGallery w:val="Page Numbers (Top of Page)"/>
        <w:docPartUnique/>
      </w:docPartObj>
    </w:sdtPr>
    <w:sdtEndPr/>
    <w:sdtContent>
      <w:p w:rsidR="00253F16" w:rsidRDefault="00253F16" w14:paraId="30AA0854" w14:textId="64DE2DEF">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253F16" w:rsidRDefault="00253F16" w14:paraId="201AD5E3" w14:textId="31129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1d7b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E5A2F"/>
    <w:multiLevelType w:val="hybridMultilevel"/>
    <w:tmpl w:val="3E14D194"/>
    <w:lvl w:ilvl="0" w:tplc="BF4C7AF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026CFE"/>
    <w:multiLevelType w:val="hybridMultilevel"/>
    <w:tmpl w:val="CC6A991C"/>
    <w:lvl w:ilvl="0" w:tplc="10166D18">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B73ED1"/>
    <w:multiLevelType w:val="hybridMultilevel"/>
    <w:tmpl w:val="6F162E50"/>
    <w:lvl w:ilvl="0" w:tplc="43B018E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F03DA7"/>
    <w:multiLevelType w:val="hybridMultilevel"/>
    <w:tmpl w:val="FC4A647C"/>
    <w:lvl w:ilvl="0" w:tplc="04942036">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8A16DE"/>
    <w:multiLevelType w:val="hybridMultilevel"/>
    <w:tmpl w:val="A6A80106"/>
    <w:lvl w:ilvl="0" w:tplc="B1D01720">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420FF5"/>
    <w:multiLevelType w:val="hybridMultilevel"/>
    <w:tmpl w:val="35A09172"/>
    <w:lvl w:ilvl="0" w:tplc="1362E5FA">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C15AB8"/>
    <w:multiLevelType w:val="hybridMultilevel"/>
    <w:tmpl w:val="74CE7E5A"/>
    <w:lvl w:ilvl="0" w:tplc="55368860">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0064A4"/>
    <w:multiLevelType w:val="hybridMultilevel"/>
    <w:tmpl w:val="A80AF9AC"/>
    <w:lvl w:ilvl="0" w:tplc="3CF25A82">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A93B66"/>
    <w:multiLevelType w:val="hybridMultilevel"/>
    <w:tmpl w:val="A53C8A62"/>
    <w:lvl w:ilvl="0" w:tplc="925200F2">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D723B9"/>
    <w:multiLevelType w:val="hybridMultilevel"/>
    <w:tmpl w:val="EE560340"/>
    <w:lvl w:ilvl="0" w:tplc="12268710">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7D7C81"/>
    <w:multiLevelType w:val="hybridMultilevel"/>
    <w:tmpl w:val="EAAC8214"/>
    <w:lvl w:ilvl="0" w:tplc="02361C10">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735E74"/>
    <w:multiLevelType w:val="hybridMultilevel"/>
    <w:tmpl w:val="3FFACA06"/>
    <w:lvl w:ilvl="0" w:tplc="939684BA">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342240"/>
    <w:multiLevelType w:val="hybridMultilevel"/>
    <w:tmpl w:val="9AC02072"/>
    <w:lvl w:ilvl="0" w:tplc="A13621AE">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2850E2A"/>
    <w:multiLevelType w:val="hybridMultilevel"/>
    <w:tmpl w:val="DDACBC96"/>
    <w:lvl w:ilvl="0" w:tplc="372C0832">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500F5F"/>
    <w:multiLevelType w:val="hybridMultilevel"/>
    <w:tmpl w:val="D73CC906"/>
    <w:lvl w:ilvl="0" w:tplc="5622DF4A">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3464F6D"/>
    <w:multiLevelType w:val="hybridMultilevel"/>
    <w:tmpl w:val="A788BBF6"/>
    <w:lvl w:ilvl="0" w:tplc="0B4EF828">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B267118"/>
    <w:multiLevelType w:val="hybridMultilevel"/>
    <w:tmpl w:val="6A2A36B8"/>
    <w:lvl w:ilvl="0" w:tplc="EE1A1462">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E774EC"/>
    <w:multiLevelType w:val="multilevel"/>
    <w:tmpl w:val="ACBAE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F322D80"/>
    <w:multiLevelType w:val="hybridMultilevel"/>
    <w:tmpl w:val="D1704896"/>
    <w:lvl w:ilvl="0" w:tplc="36A4AD74">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0">
    <w:abstractNumId w:val="19"/>
  </w:num>
  <w:num w:numId="1" w16cid:durableId="995182265">
    <w:abstractNumId w:val="17"/>
  </w:num>
  <w:num w:numId="2" w16cid:durableId="920873179">
    <w:abstractNumId w:val="16"/>
  </w:num>
  <w:num w:numId="3" w16cid:durableId="935485262">
    <w:abstractNumId w:val="15"/>
  </w:num>
  <w:num w:numId="4" w16cid:durableId="194395070">
    <w:abstractNumId w:val="7"/>
  </w:num>
  <w:num w:numId="5" w16cid:durableId="1862936287">
    <w:abstractNumId w:val="10"/>
  </w:num>
  <w:num w:numId="6" w16cid:durableId="452135059">
    <w:abstractNumId w:val="13"/>
  </w:num>
  <w:num w:numId="7" w16cid:durableId="1541019117">
    <w:abstractNumId w:val="8"/>
  </w:num>
  <w:num w:numId="8" w16cid:durableId="896671562">
    <w:abstractNumId w:val="1"/>
  </w:num>
  <w:num w:numId="9" w16cid:durableId="1558591261">
    <w:abstractNumId w:val="3"/>
  </w:num>
  <w:num w:numId="10" w16cid:durableId="945694796">
    <w:abstractNumId w:val="18"/>
  </w:num>
  <w:num w:numId="11" w16cid:durableId="464276925">
    <w:abstractNumId w:val="9"/>
  </w:num>
  <w:num w:numId="12" w16cid:durableId="480001730">
    <w:abstractNumId w:val="4"/>
  </w:num>
  <w:num w:numId="13" w16cid:durableId="545413426">
    <w:abstractNumId w:val="5"/>
  </w:num>
  <w:num w:numId="14" w16cid:durableId="892231146">
    <w:abstractNumId w:val="14"/>
  </w:num>
  <w:num w:numId="15" w16cid:durableId="1035272610">
    <w:abstractNumId w:val="11"/>
  </w:num>
  <w:num w:numId="16" w16cid:durableId="476342404">
    <w:abstractNumId w:val="12"/>
  </w:num>
  <w:num w:numId="17" w16cid:durableId="171114616">
    <w:abstractNumId w:val="6"/>
  </w:num>
  <w:num w:numId="18" w16cid:durableId="1310939664">
    <w:abstractNumId w:val="0"/>
  </w:num>
  <w:num w:numId="19" w16cid:durableId="4373386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WLINGS, Alex (CARTERKNOWLE DORE MEDICAL PRACTICE)">
    <w15:presenceInfo w15:providerId="AD" w15:userId="S::alex.rawlings@nhs.net::6e05ec7c-3e0c-4208-aee1-bafd1b36b96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65"/>
    <w:rsid w:val="00077CB6"/>
    <w:rsid w:val="000C0E0F"/>
    <w:rsid w:val="00120661"/>
    <w:rsid w:val="00183151"/>
    <w:rsid w:val="00195E07"/>
    <w:rsid w:val="001E6959"/>
    <w:rsid w:val="00205FD6"/>
    <w:rsid w:val="002228B5"/>
    <w:rsid w:val="00222F3F"/>
    <w:rsid w:val="00253F16"/>
    <w:rsid w:val="002A71EB"/>
    <w:rsid w:val="00340494"/>
    <w:rsid w:val="003D2779"/>
    <w:rsid w:val="003F7CF0"/>
    <w:rsid w:val="00463066"/>
    <w:rsid w:val="004903E8"/>
    <w:rsid w:val="004D728D"/>
    <w:rsid w:val="0050059F"/>
    <w:rsid w:val="00672F31"/>
    <w:rsid w:val="006C1A57"/>
    <w:rsid w:val="006E08B0"/>
    <w:rsid w:val="006E5D73"/>
    <w:rsid w:val="006F3465"/>
    <w:rsid w:val="00775CA3"/>
    <w:rsid w:val="00857BA8"/>
    <w:rsid w:val="00887F16"/>
    <w:rsid w:val="008F5DD6"/>
    <w:rsid w:val="0096613B"/>
    <w:rsid w:val="00993AAC"/>
    <w:rsid w:val="009F5FDE"/>
    <w:rsid w:val="00AF1B8E"/>
    <w:rsid w:val="00AF44AA"/>
    <w:rsid w:val="00AF60BF"/>
    <w:rsid w:val="00B00FF4"/>
    <w:rsid w:val="00BD5676"/>
    <w:rsid w:val="00BE0B84"/>
    <w:rsid w:val="00C57943"/>
    <w:rsid w:val="00C762F8"/>
    <w:rsid w:val="00D251A6"/>
    <w:rsid w:val="00D91872"/>
    <w:rsid w:val="00DA29E0"/>
    <w:rsid w:val="00DC2781"/>
    <w:rsid w:val="00DF0B48"/>
    <w:rsid w:val="00F4580C"/>
    <w:rsid w:val="00F470EC"/>
    <w:rsid w:val="00FD7D97"/>
    <w:rsid w:val="0225D085"/>
    <w:rsid w:val="0239ECDC"/>
    <w:rsid w:val="06C37C59"/>
    <w:rsid w:val="08C2D031"/>
    <w:rsid w:val="0A74EF7A"/>
    <w:rsid w:val="0A876379"/>
    <w:rsid w:val="0BD7065B"/>
    <w:rsid w:val="0F464BC6"/>
    <w:rsid w:val="10E8AC2A"/>
    <w:rsid w:val="12837264"/>
    <w:rsid w:val="1612CE1C"/>
    <w:rsid w:val="18DB9B95"/>
    <w:rsid w:val="19E2D74B"/>
    <w:rsid w:val="1C5CA402"/>
    <w:rsid w:val="1EFB0682"/>
    <w:rsid w:val="2646A8E4"/>
    <w:rsid w:val="27153A5E"/>
    <w:rsid w:val="2820B162"/>
    <w:rsid w:val="2BF243BD"/>
    <w:rsid w:val="2F2DE54D"/>
    <w:rsid w:val="33CA997F"/>
    <w:rsid w:val="348928F8"/>
    <w:rsid w:val="3903E77F"/>
    <w:rsid w:val="391A75C6"/>
    <w:rsid w:val="39F7DD2A"/>
    <w:rsid w:val="3BB3581E"/>
    <w:rsid w:val="3CEFD849"/>
    <w:rsid w:val="4655C11C"/>
    <w:rsid w:val="47879B47"/>
    <w:rsid w:val="49A6D78C"/>
    <w:rsid w:val="4C4199F4"/>
    <w:rsid w:val="4C75FCF2"/>
    <w:rsid w:val="50D8C93C"/>
    <w:rsid w:val="57CAEB07"/>
    <w:rsid w:val="58919596"/>
    <w:rsid w:val="5AEF6005"/>
    <w:rsid w:val="5BADC7F2"/>
    <w:rsid w:val="5EAC2702"/>
    <w:rsid w:val="6B95DB53"/>
    <w:rsid w:val="749B6385"/>
    <w:rsid w:val="7555AE60"/>
    <w:rsid w:val="75AB7ECC"/>
    <w:rsid w:val="76010D6A"/>
    <w:rsid w:val="7805E906"/>
    <w:rsid w:val="7D17B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4FF4"/>
  <w15:chartTrackingRefBased/>
  <w15:docId w15:val="{31808064-3F15-4CCB-9109-66F9D4B36C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346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F34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F3465"/>
    <w:pPr>
      <w:ind w:left="720"/>
      <w:contextualSpacing/>
    </w:pPr>
  </w:style>
  <w:style w:type="character" w:styleId="Hyperlink">
    <w:name w:val="Hyperlink"/>
    <w:basedOn w:val="DefaultParagraphFont"/>
    <w:uiPriority w:val="99"/>
    <w:unhideWhenUsed/>
    <w:rsid w:val="006C1A57"/>
    <w:rPr>
      <w:color w:val="0000FF"/>
      <w:u w:val="single"/>
    </w:rPr>
  </w:style>
  <w:style w:type="paragraph" w:styleId="Header">
    <w:name w:val="header"/>
    <w:basedOn w:val="Normal"/>
    <w:link w:val="HeaderChar"/>
    <w:uiPriority w:val="99"/>
    <w:unhideWhenUsed/>
    <w:rsid w:val="00253F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3F16"/>
  </w:style>
  <w:style w:type="paragraph" w:styleId="Footer">
    <w:name w:val="footer"/>
    <w:basedOn w:val="Normal"/>
    <w:link w:val="FooterChar"/>
    <w:uiPriority w:val="99"/>
    <w:unhideWhenUsed/>
    <w:rsid w:val="00253F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3F16"/>
  </w:style>
  <w:style w:type="character" w:styleId="UnresolvedMention">
    <w:name w:val="Unresolved Mention"/>
    <w:basedOn w:val="DefaultParagraphFont"/>
    <w:uiPriority w:val="99"/>
    <w:semiHidden/>
    <w:unhideWhenUsed/>
    <w:rsid w:val="003D2779"/>
    <w:rPr>
      <w:color w:val="605E5C"/>
      <w:shd w:val="clear" w:color="auto" w:fill="E1DFDD"/>
    </w:rPr>
  </w:style>
  <w:style w:type="paragraph" w:styleId="Revision">
    <w:name w:val="Revision"/>
    <w:hidden/>
    <w:uiPriority w:val="99"/>
    <w:semiHidden/>
    <w:rsid w:val="00BE0B84"/>
    <w:pPr>
      <w:spacing w:after="0" w:line="240" w:lineRule="auto"/>
    </w:pPr>
  </w:style>
  <w:style w:type="character" w:styleId="CommentReference">
    <w:name w:val="Comment Reference"/>
    <w:basedOn w:val="DefaultParagraphFont"/>
    <w:uiPriority w:val="99"/>
    <w:semiHidden/>
    <w:unhideWhenUsed/>
    <w:rsid w:val="00AF44AA"/>
    <w:rPr>
      <w:sz w:val="16"/>
      <w:szCs w:val="16"/>
    </w:rPr>
  </w:style>
  <w:style w:type="paragraph" w:styleId="CommentText">
    <w:name w:val="Comment Text"/>
    <w:basedOn w:val="Normal"/>
    <w:link w:val="CommentTextChar"/>
    <w:uiPriority w:val="99"/>
    <w:unhideWhenUsed/>
    <w:rsid w:val="00AF44AA"/>
    <w:pPr>
      <w:spacing w:line="240" w:lineRule="auto"/>
    </w:pPr>
    <w:rPr>
      <w:sz w:val="20"/>
      <w:szCs w:val="20"/>
    </w:rPr>
  </w:style>
  <w:style w:type="character" w:styleId="CommentTextChar" w:customStyle="1">
    <w:name w:val="Comment Text Char"/>
    <w:basedOn w:val="DefaultParagraphFont"/>
    <w:link w:val="CommentText"/>
    <w:uiPriority w:val="99"/>
    <w:rsid w:val="00AF44AA"/>
    <w:rPr>
      <w:sz w:val="20"/>
      <w:szCs w:val="20"/>
    </w:rPr>
  </w:style>
  <w:style w:type="paragraph" w:styleId="CommentSubject">
    <w:name w:val="Comment Subject"/>
    <w:basedOn w:val="CommentText"/>
    <w:next w:val="CommentText"/>
    <w:link w:val="CommentSubjectChar"/>
    <w:uiPriority w:val="99"/>
    <w:semiHidden/>
    <w:unhideWhenUsed/>
    <w:rsid w:val="00AF44AA"/>
    <w:rPr>
      <w:b/>
      <w:bCs/>
    </w:rPr>
  </w:style>
  <w:style w:type="character" w:styleId="CommentSubjectChar" w:customStyle="1">
    <w:name w:val="Comment Subject Char"/>
    <w:basedOn w:val="CommentTextChar"/>
    <w:link w:val="CommentSubject"/>
    <w:uiPriority w:val="99"/>
    <w:semiHidden/>
    <w:rsid w:val="00AF4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ma.org.uk/advice-and-support/gp-practices/gp-service-provision/gp-access-meeting-the-reasonable-needs-of-pati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a016013-f612-48ce-86b0-0f35ddd2be78">
      <Terms xmlns="http://schemas.microsoft.com/office/infopath/2007/PartnerControls"/>
    </lcf76f155ced4ddcb4097134ff3c332f>
    <TaxCatchAll xmlns="0e03af2c-9419-4a2b-9d56-0057255730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8DA01400827D4382F8C84BFCC318AC" ma:contentTypeVersion="17" ma:contentTypeDescription="Create a new document." ma:contentTypeScope="" ma:versionID="acdaab92d73936628c6b165fd80748eb">
  <xsd:schema xmlns:xsd="http://www.w3.org/2001/XMLSchema" xmlns:xs="http://www.w3.org/2001/XMLSchema" xmlns:p="http://schemas.microsoft.com/office/2006/metadata/properties" xmlns:ns1="http://schemas.microsoft.com/sharepoint/v3" xmlns:ns2="4a016013-f612-48ce-86b0-0f35ddd2be78" xmlns:ns3="0e03af2c-9419-4a2b-9d56-0057255730a1" targetNamespace="http://schemas.microsoft.com/office/2006/metadata/properties" ma:root="true" ma:fieldsID="6ae711ca6c0a21992e83841b9609d134" ns1:_="" ns2:_="" ns3:_="">
    <xsd:import namespace="http://schemas.microsoft.com/sharepoint/v3"/>
    <xsd:import namespace="4a016013-f612-48ce-86b0-0f35ddd2be78"/>
    <xsd:import namespace="0e03af2c-9419-4a2b-9d56-0057255730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16013-f612-48ce-86b0-0f35ddd2b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3af2c-9419-4a2b-9d56-005725573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e2651b-d537-4c90-b5f8-d923d95e5251}" ma:internalName="TaxCatchAll" ma:showField="CatchAllData" ma:web="0e03af2c-9419-4a2b-9d56-0057255730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0FC75-4975-4737-ABEB-8A918D4BE6BE}">
  <ds:schemaRefs>
    <ds:schemaRef ds:uri="http://purl.org/dc/dcmitype/"/>
    <ds:schemaRef ds:uri="http://purl.org/dc/elements/1.1/"/>
    <ds:schemaRef ds:uri="c85e310c-9789-49cc-9a72-6499b297a9ef"/>
    <ds:schemaRef ds:uri="http://schemas.microsoft.com/office/2006/documentManagement/types"/>
    <ds:schemaRef ds:uri="http://schemas.microsoft.com/office/2006/metadata/properties"/>
    <ds:schemaRef ds:uri="d953a5bc-c509-4703-966a-9b6b44dd628c"/>
    <ds:schemaRef ds:uri="http://purl.org/dc/term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056B0E7-87AD-4ED6-838B-6870907ED9A4}">
  <ds:schemaRefs>
    <ds:schemaRef ds:uri="http://schemas.microsoft.com/sharepoint/v3/contenttype/forms"/>
  </ds:schemaRefs>
</ds:datastoreItem>
</file>

<file path=customXml/itemProps3.xml><?xml version="1.0" encoding="utf-8"?>
<ds:datastoreItem xmlns:ds="http://schemas.openxmlformats.org/officeDocument/2006/customXml" ds:itemID="{C2DF9BEB-7319-4AE3-9675-1167888E3F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 Liam (CARTERKNOWLE &amp; DORE MEDICAL PRACTICE)</dc:creator>
  <cp:keywords/>
  <dc:description/>
  <cp:lastModifiedBy>LEES, Liam (CARTERKNOWLE DORE MEDICAL PRACTICE)</cp:lastModifiedBy>
  <cp:revision>9</cp:revision>
  <dcterms:created xsi:type="dcterms:W3CDTF">2026-04-15T11:09:00Z</dcterms:created>
  <dcterms:modified xsi:type="dcterms:W3CDTF">2026-04-17T12:50:10Z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0x010100128DA01400827D4382F8C84BFCC318AC</vt:lpwstr>
  </property>
  <property fmtid="{D5CDD505-2E9C-101B-9397-08002B2CF9AE}" pid="3" name="MediaServiceImageTags">
    <vt:lpwstr/>
  </property>
</Properties>
</file>