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89CA" w14:textId="42422AA0" w:rsidR="006951DA" w:rsidRPr="00A01788" w:rsidRDefault="005739AD">
      <w:pPr>
        <w:rPr>
          <w:b/>
          <w:bCs/>
          <w:sz w:val="16"/>
          <w:szCs w:val="16"/>
          <w:u w:val="single"/>
        </w:rPr>
      </w:pPr>
      <w:r w:rsidRPr="00A01788">
        <w:rPr>
          <w:b/>
          <w:bCs/>
          <w:sz w:val="16"/>
          <w:szCs w:val="16"/>
          <w:u w:val="single"/>
        </w:rPr>
        <w:t xml:space="preserve">ADHD Patient Acceptance Agreement. </w:t>
      </w:r>
    </w:p>
    <w:p w14:paraId="7A5EDDA0" w14:textId="6FC144FF" w:rsidR="005739AD" w:rsidRPr="00A01788" w:rsidRDefault="005739AD">
      <w:pPr>
        <w:rPr>
          <w:sz w:val="16"/>
          <w:szCs w:val="16"/>
        </w:rPr>
      </w:pPr>
      <w:r w:rsidRPr="00A01788">
        <w:rPr>
          <w:sz w:val="16"/>
          <w:szCs w:val="16"/>
        </w:rPr>
        <w:t xml:space="preserve">This agreement has been created to formalise the terms by which CARTERKNOWLE AND DORE MEDICAL PRACTICE can accept and maintain a SHARED CARE AGREEMENT to allow NHS prescription of medications used for </w:t>
      </w:r>
      <w:r w:rsidRPr="00A01788">
        <w:rPr>
          <w:b/>
          <w:bCs/>
          <w:sz w:val="16"/>
          <w:szCs w:val="16"/>
          <w:u w:val="single"/>
        </w:rPr>
        <w:t>ADHD</w:t>
      </w:r>
      <w:r w:rsidRPr="00A01788">
        <w:rPr>
          <w:sz w:val="16"/>
          <w:szCs w:val="16"/>
        </w:rPr>
        <w:t xml:space="preserve">. </w:t>
      </w:r>
    </w:p>
    <w:p w14:paraId="5374A144" w14:textId="3828AE95" w:rsidR="005739AD" w:rsidRPr="00A01788" w:rsidRDefault="005739AD">
      <w:pPr>
        <w:rPr>
          <w:sz w:val="16"/>
          <w:szCs w:val="16"/>
        </w:rPr>
      </w:pPr>
      <w:r w:rsidRPr="00A01788">
        <w:rPr>
          <w:sz w:val="16"/>
          <w:szCs w:val="16"/>
        </w:rPr>
        <w:t>The reason we have created a separate (</w:t>
      </w:r>
      <w:r w:rsidRPr="007732CC">
        <w:rPr>
          <w:i/>
          <w:iCs/>
          <w:sz w:val="16"/>
          <w:szCs w:val="16"/>
        </w:rPr>
        <w:t>and additional</w:t>
      </w:r>
      <w:r w:rsidRPr="00A01788">
        <w:rPr>
          <w:sz w:val="16"/>
          <w:szCs w:val="16"/>
        </w:rPr>
        <w:t xml:space="preserve">) agreement is that Shared Care Agreements vary by provider, some are from NHS, some are from the private sector, which can make it very difficult to adopt a unified approach.  In addition, patients come to a diagnosis either through fully self-funding a private assessment, a hybrid via Right to Choose, or via </w:t>
      </w:r>
      <w:proofErr w:type="gramStart"/>
      <w:r w:rsidRPr="00A01788">
        <w:rPr>
          <w:sz w:val="16"/>
          <w:szCs w:val="16"/>
        </w:rPr>
        <w:t>a</w:t>
      </w:r>
      <w:proofErr w:type="gramEnd"/>
      <w:r w:rsidRPr="00A01788">
        <w:rPr>
          <w:sz w:val="16"/>
          <w:szCs w:val="16"/>
        </w:rPr>
        <w:t xml:space="preserve"> NHS pathway, and NHS services are severely stretched.  </w:t>
      </w:r>
    </w:p>
    <w:p w14:paraId="230527A5" w14:textId="4503ED99" w:rsidR="005739AD" w:rsidRPr="00A01788" w:rsidRDefault="005739AD">
      <w:pPr>
        <w:rPr>
          <w:sz w:val="16"/>
          <w:szCs w:val="16"/>
        </w:rPr>
      </w:pPr>
      <w:r w:rsidRPr="00A01788">
        <w:rPr>
          <w:sz w:val="16"/>
          <w:szCs w:val="16"/>
        </w:rPr>
        <w:t>The agreement below must be signed by the patient (</w:t>
      </w:r>
      <w:r w:rsidRPr="007732CC">
        <w:rPr>
          <w:i/>
          <w:iCs/>
          <w:sz w:val="16"/>
          <w:szCs w:val="16"/>
        </w:rPr>
        <w:t>or a parent/responsible party if below the age of 16</w:t>
      </w:r>
      <w:r w:rsidRPr="00A01788">
        <w:rPr>
          <w:sz w:val="16"/>
          <w:szCs w:val="16"/>
        </w:rPr>
        <w:t xml:space="preserve">) prior to the practice accepting any shared care agreement. If this agreement is not signed or the terms are broken, then the practice will withdraw from Shared Care and any associated prescribing will end.  </w:t>
      </w:r>
    </w:p>
    <w:tbl>
      <w:tblPr>
        <w:tblStyle w:val="TableGrid"/>
        <w:tblW w:w="0" w:type="auto"/>
        <w:tblLook w:val="04A0" w:firstRow="1" w:lastRow="0" w:firstColumn="1" w:lastColumn="0" w:noHBand="0" w:noVBand="1"/>
      </w:tblPr>
      <w:tblGrid>
        <w:gridCol w:w="3539"/>
        <w:gridCol w:w="5477"/>
      </w:tblGrid>
      <w:tr w:rsidR="00D16E97" w:rsidRPr="00A01788" w14:paraId="4CE6D0B5" w14:textId="77777777" w:rsidTr="00D81A93">
        <w:tc>
          <w:tcPr>
            <w:tcW w:w="9016" w:type="dxa"/>
            <w:gridSpan w:val="2"/>
            <w:shd w:val="clear" w:color="auto" w:fill="D9D9D9" w:themeFill="background1" w:themeFillShade="D9"/>
          </w:tcPr>
          <w:p w14:paraId="5ADF8B10" w14:textId="6306E23D" w:rsidR="00D16E97" w:rsidRPr="00A01788" w:rsidRDefault="00D16E97">
            <w:pPr>
              <w:rPr>
                <w:b/>
                <w:bCs/>
                <w:sz w:val="16"/>
                <w:szCs w:val="16"/>
              </w:rPr>
            </w:pPr>
            <w:r w:rsidRPr="00A01788">
              <w:rPr>
                <w:b/>
                <w:bCs/>
                <w:sz w:val="16"/>
                <w:szCs w:val="16"/>
              </w:rPr>
              <w:t>Once a shared care agreement is accepted</w:t>
            </w:r>
          </w:p>
        </w:tc>
      </w:tr>
      <w:tr w:rsidR="00D16E97" w:rsidRPr="00A01788" w14:paraId="76B5699E" w14:textId="77777777" w:rsidTr="00A01788">
        <w:tc>
          <w:tcPr>
            <w:tcW w:w="3539" w:type="dxa"/>
            <w:shd w:val="clear" w:color="auto" w:fill="B3E5A1" w:themeFill="accent6" w:themeFillTint="66"/>
          </w:tcPr>
          <w:p w14:paraId="17586E6D" w14:textId="52C94D23" w:rsidR="00D16E97" w:rsidRPr="00A01788" w:rsidRDefault="00D16E97">
            <w:pPr>
              <w:rPr>
                <w:b/>
                <w:bCs/>
                <w:sz w:val="16"/>
                <w:szCs w:val="16"/>
              </w:rPr>
            </w:pPr>
            <w:r w:rsidRPr="00A01788">
              <w:rPr>
                <w:b/>
                <w:bCs/>
                <w:sz w:val="16"/>
                <w:szCs w:val="16"/>
              </w:rPr>
              <w:t>What a GP can do:</w:t>
            </w:r>
          </w:p>
        </w:tc>
        <w:tc>
          <w:tcPr>
            <w:tcW w:w="5477" w:type="dxa"/>
            <w:shd w:val="clear" w:color="auto" w:fill="FAE2D5" w:themeFill="accent2" w:themeFillTint="33"/>
          </w:tcPr>
          <w:p w14:paraId="369113E8" w14:textId="630EF60A" w:rsidR="00D16E97" w:rsidRPr="00A01788" w:rsidRDefault="00D16E97">
            <w:pPr>
              <w:rPr>
                <w:b/>
                <w:bCs/>
                <w:sz w:val="16"/>
                <w:szCs w:val="16"/>
              </w:rPr>
            </w:pPr>
            <w:r w:rsidRPr="00A01788">
              <w:rPr>
                <w:b/>
                <w:bCs/>
                <w:sz w:val="16"/>
                <w:szCs w:val="16"/>
              </w:rPr>
              <w:t>What a GP cannot do:</w:t>
            </w:r>
          </w:p>
        </w:tc>
      </w:tr>
      <w:tr w:rsidR="00D16E97" w:rsidRPr="00A01788" w14:paraId="69E1F2A9" w14:textId="77777777" w:rsidTr="00A01788">
        <w:tc>
          <w:tcPr>
            <w:tcW w:w="3539" w:type="dxa"/>
          </w:tcPr>
          <w:p w14:paraId="2D2D70F1" w14:textId="746A7053" w:rsidR="00D16E97" w:rsidRPr="00A01788" w:rsidRDefault="00D16E97" w:rsidP="0043601B">
            <w:pPr>
              <w:pStyle w:val="ListParagraph"/>
              <w:numPr>
                <w:ilvl w:val="0"/>
                <w:numId w:val="3"/>
              </w:numPr>
              <w:rPr>
                <w:sz w:val="16"/>
                <w:szCs w:val="16"/>
              </w:rPr>
            </w:pPr>
            <w:r w:rsidRPr="00A01788">
              <w:rPr>
                <w:sz w:val="16"/>
                <w:szCs w:val="16"/>
              </w:rPr>
              <w:t>Set up monitoring with the practice.</w:t>
            </w:r>
          </w:p>
          <w:p w14:paraId="28A1D766" w14:textId="61D6968B" w:rsidR="00D16E97" w:rsidRPr="00A01788" w:rsidRDefault="00D16E97" w:rsidP="0043601B">
            <w:pPr>
              <w:pStyle w:val="ListParagraph"/>
              <w:numPr>
                <w:ilvl w:val="0"/>
                <w:numId w:val="2"/>
              </w:numPr>
              <w:rPr>
                <w:sz w:val="16"/>
                <w:szCs w:val="16"/>
              </w:rPr>
            </w:pPr>
            <w:r w:rsidRPr="00A01788">
              <w:rPr>
                <w:sz w:val="16"/>
                <w:szCs w:val="16"/>
              </w:rPr>
              <w:t xml:space="preserve">Prescribe medications </w:t>
            </w:r>
          </w:p>
        </w:tc>
        <w:tc>
          <w:tcPr>
            <w:tcW w:w="5477" w:type="dxa"/>
          </w:tcPr>
          <w:p w14:paraId="0D413E43" w14:textId="26C92728" w:rsidR="00D16E97" w:rsidRPr="00A01788" w:rsidRDefault="00D16E97" w:rsidP="0043601B">
            <w:pPr>
              <w:pStyle w:val="ListParagraph"/>
              <w:numPr>
                <w:ilvl w:val="0"/>
                <w:numId w:val="2"/>
              </w:numPr>
              <w:rPr>
                <w:sz w:val="16"/>
                <w:szCs w:val="16"/>
              </w:rPr>
            </w:pPr>
            <w:r w:rsidRPr="00A01788">
              <w:rPr>
                <w:sz w:val="16"/>
                <w:szCs w:val="16"/>
              </w:rPr>
              <w:t>GP cannot change dose</w:t>
            </w:r>
            <w:r w:rsidR="003867E6" w:rsidRPr="00A01788">
              <w:rPr>
                <w:sz w:val="16"/>
                <w:szCs w:val="16"/>
              </w:rPr>
              <w:t xml:space="preserve"> or switch to non- equivalent</w:t>
            </w:r>
            <w:r w:rsidRPr="00A01788">
              <w:rPr>
                <w:sz w:val="16"/>
                <w:szCs w:val="16"/>
              </w:rPr>
              <w:t xml:space="preserve"> medications. </w:t>
            </w:r>
          </w:p>
          <w:p w14:paraId="63D1276A" w14:textId="386ACC51" w:rsidR="00D16E97" w:rsidRPr="00A01788" w:rsidRDefault="00D16E97" w:rsidP="0043601B">
            <w:pPr>
              <w:pStyle w:val="ListParagraph"/>
              <w:numPr>
                <w:ilvl w:val="0"/>
                <w:numId w:val="2"/>
              </w:numPr>
              <w:rPr>
                <w:sz w:val="16"/>
                <w:szCs w:val="16"/>
              </w:rPr>
            </w:pPr>
            <w:r w:rsidRPr="00A01788">
              <w:rPr>
                <w:sz w:val="16"/>
                <w:szCs w:val="16"/>
              </w:rPr>
              <w:t xml:space="preserve">GP cannot start new ADHD medications.   </w:t>
            </w:r>
          </w:p>
        </w:tc>
      </w:tr>
    </w:tbl>
    <w:p w14:paraId="48283CEF" w14:textId="20D63489" w:rsidR="005739AD" w:rsidRPr="00A01788" w:rsidRDefault="005739AD">
      <w:pPr>
        <w:rPr>
          <w:b/>
          <w:bCs/>
          <w:sz w:val="16"/>
          <w:szCs w:val="16"/>
          <w:u w:val="single"/>
        </w:rPr>
      </w:pPr>
      <w:r w:rsidRPr="00A01788">
        <w:rPr>
          <w:b/>
          <w:bCs/>
          <w:sz w:val="16"/>
          <w:szCs w:val="16"/>
          <w:u w:val="single"/>
        </w:rPr>
        <w:t>Agreement</w:t>
      </w:r>
      <w:r w:rsidR="007D18D0" w:rsidRPr="00A01788">
        <w:rPr>
          <w:b/>
          <w:bCs/>
          <w:sz w:val="16"/>
          <w:szCs w:val="16"/>
          <w:u w:val="single"/>
        </w:rPr>
        <w:t>, by signing this agreement I (or the patient) enter (into) an understanding with the practice surrounding the terms of accepting Shared Care for ADHD type medications.</w:t>
      </w:r>
    </w:p>
    <w:p w14:paraId="175A56AB" w14:textId="77777777" w:rsidR="00FE73C3" w:rsidRPr="00A01788" w:rsidRDefault="00FE73C3" w:rsidP="00FE73C3">
      <w:pPr>
        <w:pStyle w:val="ListParagraph"/>
        <w:numPr>
          <w:ilvl w:val="0"/>
          <w:numId w:val="1"/>
        </w:numPr>
        <w:rPr>
          <w:sz w:val="16"/>
          <w:szCs w:val="16"/>
        </w:rPr>
      </w:pPr>
      <w:r w:rsidRPr="00A01788">
        <w:rPr>
          <w:b/>
          <w:bCs/>
          <w:sz w:val="16"/>
          <w:szCs w:val="16"/>
        </w:rPr>
        <w:t xml:space="preserve">I accept that if my diagnosis is made outside of local NHS organisations, it may not be accepted by local NHS organisations and may need reassessment. </w:t>
      </w:r>
    </w:p>
    <w:p w14:paraId="7F791953" w14:textId="50FE24CE" w:rsidR="005739AD" w:rsidRPr="00A01788" w:rsidRDefault="005739AD" w:rsidP="005739AD">
      <w:pPr>
        <w:pStyle w:val="ListParagraph"/>
        <w:numPr>
          <w:ilvl w:val="0"/>
          <w:numId w:val="1"/>
        </w:numPr>
        <w:rPr>
          <w:sz w:val="16"/>
          <w:szCs w:val="16"/>
        </w:rPr>
      </w:pPr>
      <w:r w:rsidRPr="00A01788">
        <w:rPr>
          <w:b/>
          <w:bCs/>
          <w:sz w:val="16"/>
          <w:szCs w:val="16"/>
        </w:rPr>
        <w:t>I agree to follow the terms of the Shared Care Agreement</w:t>
      </w:r>
      <w:r w:rsidRPr="00A01788">
        <w:rPr>
          <w:sz w:val="16"/>
          <w:szCs w:val="16"/>
        </w:rPr>
        <w:t xml:space="preserve"> (</w:t>
      </w:r>
      <w:r w:rsidRPr="00A01788">
        <w:rPr>
          <w:i/>
          <w:iCs/>
          <w:sz w:val="16"/>
          <w:szCs w:val="16"/>
        </w:rPr>
        <w:t>this is the Sheffield one and we advise all organisations to follow this, means everyone follows one agreement rather than the practice holding multiple shared care agreements with slight differences between</w:t>
      </w:r>
      <w:r w:rsidRPr="00A01788">
        <w:rPr>
          <w:sz w:val="16"/>
          <w:szCs w:val="16"/>
        </w:rPr>
        <w:t xml:space="preserve">). </w:t>
      </w:r>
    </w:p>
    <w:p w14:paraId="1277BA60" w14:textId="616D3989" w:rsidR="004B2484" w:rsidRPr="00A01788" w:rsidRDefault="004B2484" w:rsidP="005739AD">
      <w:pPr>
        <w:pStyle w:val="ListParagraph"/>
        <w:numPr>
          <w:ilvl w:val="0"/>
          <w:numId w:val="1"/>
        </w:numPr>
        <w:rPr>
          <w:sz w:val="16"/>
          <w:szCs w:val="16"/>
        </w:rPr>
      </w:pPr>
      <w:r w:rsidRPr="00A01788">
        <w:rPr>
          <w:sz w:val="16"/>
          <w:szCs w:val="16"/>
        </w:rPr>
        <w:t xml:space="preserve">I acknowledge that a Shared Care Agreement requires a specialist provider for the GP to “share” the care with, if there is no specialist then shared care cannot take place. </w:t>
      </w:r>
      <w:r w:rsidR="00A01788" w:rsidRPr="00A01788">
        <w:rPr>
          <w:sz w:val="16"/>
          <w:szCs w:val="16"/>
        </w:rPr>
        <w:t xml:space="preserve">If the specialist provider does not respond to queries or problems in a timely fashion, then the GP may also end this agreement and Shared Care Prescribing.  </w:t>
      </w:r>
    </w:p>
    <w:p w14:paraId="0BC756E7" w14:textId="3FDDA181" w:rsidR="005739AD" w:rsidRPr="00A01788" w:rsidRDefault="005739AD" w:rsidP="005739AD">
      <w:pPr>
        <w:pStyle w:val="ListParagraph"/>
        <w:numPr>
          <w:ilvl w:val="0"/>
          <w:numId w:val="1"/>
        </w:numPr>
        <w:rPr>
          <w:sz w:val="16"/>
          <w:szCs w:val="16"/>
        </w:rPr>
      </w:pPr>
      <w:r w:rsidRPr="00A01788">
        <w:rPr>
          <w:sz w:val="16"/>
          <w:szCs w:val="16"/>
        </w:rPr>
        <w:t>I will only sign this when I (</w:t>
      </w:r>
      <w:r w:rsidRPr="00A01788">
        <w:rPr>
          <w:i/>
          <w:iCs/>
          <w:sz w:val="16"/>
          <w:szCs w:val="16"/>
        </w:rPr>
        <w:t>or the patient</w:t>
      </w:r>
      <w:r w:rsidRPr="00A01788">
        <w:rPr>
          <w:sz w:val="16"/>
          <w:szCs w:val="16"/>
        </w:rPr>
        <w:t xml:space="preserve">) </w:t>
      </w:r>
      <w:r w:rsidR="00D16E97" w:rsidRPr="00A01788">
        <w:rPr>
          <w:sz w:val="16"/>
          <w:szCs w:val="16"/>
        </w:rPr>
        <w:t>am</w:t>
      </w:r>
      <w:r w:rsidR="00A81DCC" w:rsidRPr="00A01788">
        <w:rPr>
          <w:sz w:val="16"/>
          <w:szCs w:val="16"/>
        </w:rPr>
        <w:t xml:space="preserve"> </w:t>
      </w:r>
      <w:r w:rsidR="00D16E97" w:rsidRPr="00A01788">
        <w:rPr>
          <w:sz w:val="16"/>
          <w:szCs w:val="16"/>
        </w:rPr>
        <w:t>(</w:t>
      </w:r>
      <w:r w:rsidR="00D16E97" w:rsidRPr="00A01788">
        <w:rPr>
          <w:i/>
          <w:iCs/>
          <w:sz w:val="16"/>
          <w:szCs w:val="16"/>
        </w:rPr>
        <w:t>are</w:t>
      </w:r>
      <w:r w:rsidR="00D16E97" w:rsidRPr="00A01788">
        <w:rPr>
          <w:sz w:val="16"/>
          <w:szCs w:val="16"/>
        </w:rPr>
        <w:t>) on a</w:t>
      </w:r>
      <w:r w:rsidRPr="00A01788">
        <w:rPr>
          <w:sz w:val="16"/>
          <w:szCs w:val="16"/>
        </w:rPr>
        <w:t xml:space="preserve"> stable</w:t>
      </w:r>
      <w:r w:rsidR="00D16E97" w:rsidRPr="00A01788">
        <w:rPr>
          <w:sz w:val="16"/>
          <w:szCs w:val="16"/>
        </w:rPr>
        <w:t xml:space="preserve"> dose of</w:t>
      </w:r>
      <w:r w:rsidRPr="00A01788">
        <w:rPr>
          <w:sz w:val="16"/>
          <w:szCs w:val="16"/>
        </w:rPr>
        <w:t xml:space="preserve"> medications.  </w:t>
      </w:r>
    </w:p>
    <w:p w14:paraId="2D2833D6" w14:textId="116F312C" w:rsidR="00B70356" w:rsidRPr="00A01788" w:rsidRDefault="005739AD" w:rsidP="00B70356">
      <w:pPr>
        <w:pStyle w:val="ListParagraph"/>
        <w:numPr>
          <w:ilvl w:val="0"/>
          <w:numId w:val="1"/>
        </w:numPr>
        <w:rPr>
          <w:sz w:val="16"/>
          <w:szCs w:val="16"/>
        </w:rPr>
      </w:pPr>
      <w:r w:rsidRPr="00A01788">
        <w:rPr>
          <w:b/>
          <w:bCs/>
          <w:sz w:val="16"/>
          <w:szCs w:val="16"/>
        </w:rPr>
        <w:t xml:space="preserve">I will </w:t>
      </w:r>
      <w:r w:rsidR="00D16E97" w:rsidRPr="00A01788">
        <w:rPr>
          <w:b/>
          <w:bCs/>
          <w:sz w:val="16"/>
          <w:szCs w:val="16"/>
        </w:rPr>
        <w:t>comply with the monitoring requirements</w:t>
      </w:r>
      <w:r w:rsidR="00B70356" w:rsidRPr="00A01788">
        <w:rPr>
          <w:sz w:val="16"/>
          <w:szCs w:val="16"/>
        </w:rPr>
        <w:t>:</w:t>
      </w:r>
      <w:r w:rsidR="00B70356" w:rsidRPr="00A01788">
        <w:rPr>
          <w:sz w:val="16"/>
          <w:szCs w:val="16"/>
        </w:rPr>
        <w:br/>
      </w:r>
      <w:r w:rsidR="00B70356" w:rsidRPr="00D15997">
        <w:rPr>
          <w:sz w:val="16"/>
          <w:szCs w:val="16"/>
          <w:highlight w:val="yellow"/>
          <w:u w:val="single"/>
        </w:rPr>
        <w:t>Adult</w:t>
      </w:r>
      <w:r w:rsidR="00B70356" w:rsidRPr="00D15997">
        <w:rPr>
          <w:sz w:val="16"/>
          <w:szCs w:val="16"/>
          <w:highlight w:val="yellow"/>
        </w:rPr>
        <w:t>:  Annual review with the GP (</w:t>
      </w:r>
      <w:r w:rsidR="00B70356" w:rsidRPr="00D15997">
        <w:rPr>
          <w:i/>
          <w:iCs/>
          <w:sz w:val="16"/>
          <w:szCs w:val="16"/>
          <w:highlight w:val="yellow"/>
        </w:rPr>
        <w:t>either in person, by phone or electronic</w:t>
      </w:r>
      <w:r w:rsidR="00B70356" w:rsidRPr="00D15997">
        <w:rPr>
          <w:sz w:val="16"/>
          <w:szCs w:val="16"/>
          <w:highlight w:val="yellow"/>
        </w:rPr>
        <w:t>)</w:t>
      </w:r>
      <w:r w:rsidR="007732CC" w:rsidRPr="00D15997">
        <w:rPr>
          <w:sz w:val="16"/>
          <w:szCs w:val="16"/>
          <w:highlight w:val="yellow"/>
        </w:rPr>
        <w:t xml:space="preserve"> and</w:t>
      </w:r>
      <w:r w:rsidR="00B70356" w:rsidRPr="00D15997">
        <w:rPr>
          <w:sz w:val="16"/>
          <w:szCs w:val="16"/>
          <w:highlight w:val="yellow"/>
        </w:rPr>
        <w:t xml:space="preserve"> 6 monthly checks of blood pressure, pulse, height and weight.  </w:t>
      </w:r>
      <w:r w:rsidR="007732CC" w:rsidRPr="00D15997">
        <w:rPr>
          <w:sz w:val="16"/>
          <w:szCs w:val="16"/>
          <w:highlight w:val="yellow"/>
        </w:rPr>
        <w:t xml:space="preserve">Adults who are stable do not ordinarily need an annual specialist review. </w:t>
      </w:r>
      <w:r w:rsidR="00D15997" w:rsidRPr="00D15997">
        <w:rPr>
          <w:sz w:val="16"/>
          <w:szCs w:val="16"/>
          <w:highlight w:val="yellow"/>
        </w:rPr>
        <w:t>However,</w:t>
      </w:r>
      <w:r w:rsidR="007732CC" w:rsidRPr="00D15997">
        <w:rPr>
          <w:sz w:val="16"/>
          <w:szCs w:val="16"/>
          <w:highlight w:val="yellow"/>
        </w:rPr>
        <w:t xml:space="preserve"> if the practice deems the case complex, we can also require a patient to have annual specialist reviews to meet this agreement. </w:t>
      </w:r>
      <w:r w:rsidR="00B70356" w:rsidRPr="00D15997">
        <w:rPr>
          <w:sz w:val="16"/>
          <w:szCs w:val="16"/>
          <w:highlight w:val="yellow"/>
        </w:rPr>
        <w:br/>
      </w:r>
      <w:r w:rsidR="00B70356" w:rsidRPr="00D15997">
        <w:rPr>
          <w:sz w:val="16"/>
          <w:szCs w:val="16"/>
          <w:highlight w:val="yellow"/>
          <w:u w:val="single"/>
        </w:rPr>
        <w:t>Children</w:t>
      </w:r>
      <w:r w:rsidR="00B70356" w:rsidRPr="00D15997">
        <w:rPr>
          <w:sz w:val="16"/>
          <w:szCs w:val="16"/>
          <w:highlight w:val="yellow"/>
        </w:rPr>
        <w:t xml:space="preserve"> (under 16 years old): All the above AND </w:t>
      </w:r>
      <w:r w:rsidR="004B2484" w:rsidRPr="00D15997">
        <w:rPr>
          <w:sz w:val="16"/>
          <w:szCs w:val="16"/>
          <w:highlight w:val="yellow"/>
        </w:rPr>
        <w:t xml:space="preserve">they </w:t>
      </w:r>
      <w:r w:rsidR="004B2484" w:rsidRPr="00D15997">
        <w:rPr>
          <w:sz w:val="16"/>
          <w:szCs w:val="16"/>
          <w:highlight w:val="yellow"/>
          <w:u w:val="single"/>
        </w:rPr>
        <w:t>must</w:t>
      </w:r>
      <w:r w:rsidR="004B2484" w:rsidRPr="00D15997">
        <w:rPr>
          <w:sz w:val="16"/>
          <w:szCs w:val="16"/>
          <w:highlight w:val="yellow"/>
        </w:rPr>
        <w:t xml:space="preserve"> have an</w:t>
      </w:r>
      <w:r w:rsidR="00B70356" w:rsidRPr="00D15997">
        <w:rPr>
          <w:sz w:val="16"/>
          <w:szCs w:val="16"/>
          <w:highlight w:val="yellow"/>
        </w:rPr>
        <w:t xml:space="preserve"> annual review with the specialist service.</w:t>
      </w:r>
      <w:r w:rsidR="00B70356" w:rsidRPr="00A01788">
        <w:rPr>
          <w:sz w:val="16"/>
          <w:szCs w:val="16"/>
        </w:rPr>
        <w:t xml:space="preserve"> </w:t>
      </w:r>
    </w:p>
    <w:p w14:paraId="3FB0AAB8" w14:textId="01ECC178" w:rsidR="00B70356" w:rsidRPr="00A01788" w:rsidRDefault="00B70356" w:rsidP="00B70356">
      <w:pPr>
        <w:pStyle w:val="ListParagraph"/>
        <w:numPr>
          <w:ilvl w:val="0"/>
          <w:numId w:val="1"/>
        </w:numPr>
        <w:rPr>
          <w:b/>
          <w:bCs/>
          <w:sz w:val="16"/>
          <w:szCs w:val="16"/>
        </w:rPr>
      </w:pPr>
      <w:r w:rsidRPr="00A01788">
        <w:rPr>
          <w:b/>
          <w:bCs/>
          <w:sz w:val="16"/>
          <w:szCs w:val="16"/>
        </w:rPr>
        <w:t>If my GP deems that I am not compliant with my monitoring</w:t>
      </w:r>
      <w:r w:rsidR="007861EE" w:rsidRPr="00A01788">
        <w:rPr>
          <w:b/>
          <w:bCs/>
          <w:sz w:val="16"/>
          <w:szCs w:val="16"/>
        </w:rPr>
        <w:t xml:space="preserve"> or terms of my prescribed dose</w:t>
      </w:r>
      <w:r w:rsidRPr="00A01788">
        <w:rPr>
          <w:b/>
          <w:bCs/>
          <w:sz w:val="16"/>
          <w:szCs w:val="16"/>
        </w:rPr>
        <w:t>, the GP can stop prescribing medication</w:t>
      </w:r>
      <w:r w:rsidR="007861EE" w:rsidRPr="00A01788">
        <w:rPr>
          <w:b/>
          <w:bCs/>
          <w:sz w:val="16"/>
          <w:szCs w:val="16"/>
        </w:rPr>
        <w:t xml:space="preserve"> and I will need to contact my specialist for further prescriptions. I accept there is no obligation for the GP to restart shared care.  </w:t>
      </w:r>
    </w:p>
    <w:p w14:paraId="7785CCCD" w14:textId="39FAB2C5" w:rsidR="00B70356" w:rsidRPr="00A01788" w:rsidRDefault="00B70356" w:rsidP="00B70356">
      <w:pPr>
        <w:pStyle w:val="ListParagraph"/>
        <w:numPr>
          <w:ilvl w:val="0"/>
          <w:numId w:val="1"/>
        </w:numPr>
        <w:rPr>
          <w:sz w:val="16"/>
          <w:szCs w:val="16"/>
        </w:rPr>
      </w:pPr>
      <w:r w:rsidRPr="00A01788">
        <w:rPr>
          <w:sz w:val="16"/>
          <w:szCs w:val="16"/>
        </w:rPr>
        <w:t xml:space="preserve">I am aware that medications for ADHD are not always easy to switch over in case of supply issues, and should my medication become unavailable I will contact the specialist provider who can advise my GP on what to prescribe.  </w:t>
      </w:r>
    </w:p>
    <w:p w14:paraId="30F8E79B" w14:textId="37C4AE52" w:rsidR="00D81A93" w:rsidRPr="00A01788" w:rsidRDefault="0043601B" w:rsidP="0043601B">
      <w:pPr>
        <w:pStyle w:val="ListParagraph"/>
        <w:numPr>
          <w:ilvl w:val="0"/>
          <w:numId w:val="1"/>
        </w:numPr>
        <w:rPr>
          <w:sz w:val="16"/>
          <w:szCs w:val="16"/>
        </w:rPr>
      </w:pPr>
      <w:r w:rsidRPr="00A01788">
        <w:rPr>
          <w:b/>
          <w:bCs/>
          <w:sz w:val="16"/>
          <w:szCs w:val="16"/>
          <w:u w:val="single"/>
        </w:rPr>
        <w:t>If I require a dose change</w:t>
      </w:r>
      <w:r w:rsidR="007861EE" w:rsidRPr="00A01788">
        <w:rPr>
          <w:b/>
          <w:bCs/>
          <w:sz w:val="16"/>
          <w:szCs w:val="16"/>
          <w:u w:val="single"/>
        </w:rPr>
        <w:t xml:space="preserve"> or have other issues related to ADHD</w:t>
      </w:r>
      <w:r w:rsidRPr="00A01788">
        <w:rPr>
          <w:b/>
          <w:bCs/>
          <w:sz w:val="16"/>
          <w:szCs w:val="16"/>
          <w:u w:val="single"/>
        </w:rPr>
        <w:t>, I will seek a review from a specialist service</w:t>
      </w:r>
      <w:r w:rsidRPr="00A01788">
        <w:rPr>
          <w:sz w:val="16"/>
          <w:szCs w:val="16"/>
        </w:rPr>
        <w:t xml:space="preserve">. </w:t>
      </w:r>
      <w:r w:rsidRPr="00A01788">
        <w:rPr>
          <w:sz w:val="16"/>
          <w:szCs w:val="16"/>
        </w:rPr>
        <w:br/>
      </w:r>
      <w:r w:rsidR="00D81A93" w:rsidRPr="00A01788">
        <w:rPr>
          <w:rFonts w:ascii="Arial" w:hAnsi="Arial" w:cs="Arial"/>
          <w:b/>
          <w:bCs/>
          <w:sz w:val="16"/>
          <w:szCs w:val="16"/>
        </w:rPr>
        <w:t xml:space="preserve">• </w:t>
      </w:r>
      <w:r w:rsidRPr="00A01788">
        <w:rPr>
          <w:b/>
          <w:bCs/>
          <w:sz w:val="16"/>
          <w:szCs w:val="16"/>
        </w:rPr>
        <w:t>If this is NHS, I will seek a referral from the GP to NHS Services</w:t>
      </w:r>
      <w:r w:rsidRPr="00A01788">
        <w:rPr>
          <w:sz w:val="16"/>
          <w:szCs w:val="16"/>
        </w:rPr>
        <w:t>.</w:t>
      </w:r>
      <w:r w:rsidRPr="00A01788">
        <w:rPr>
          <w:sz w:val="16"/>
          <w:szCs w:val="16"/>
        </w:rPr>
        <w:br/>
      </w:r>
      <w:r w:rsidR="00D81A93" w:rsidRPr="00A01788">
        <w:rPr>
          <w:b/>
          <w:bCs/>
          <w:sz w:val="16"/>
          <w:szCs w:val="16"/>
        </w:rPr>
        <w:t xml:space="preserve">• </w:t>
      </w:r>
      <w:r w:rsidRPr="00A01788">
        <w:rPr>
          <w:b/>
          <w:bCs/>
          <w:sz w:val="16"/>
          <w:szCs w:val="16"/>
        </w:rPr>
        <w:t>If diagnosis was made via RIGHT TO CHOOSE</w:t>
      </w:r>
      <w:r w:rsidR="00D81A93" w:rsidRPr="00A01788">
        <w:rPr>
          <w:b/>
          <w:bCs/>
          <w:sz w:val="16"/>
          <w:szCs w:val="16"/>
        </w:rPr>
        <w:t xml:space="preserve"> or IN THE PRIVATE SECTOR</w:t>
      </w:r>
      <w:r w:rsidRPr="00A01788">
        <w:rPr>
          <w:sz w:val="16"/>
          <w:szCs w:val="16"/>
        </w:rPr>
        <w:t>, I will seek a review from the service that diagnosed me (</w:t>
      </w:r>
      <w:r w:rsidRPr="00A01788">
        <w:rPr>
          <w:i/>
          <w:iCs/>
          <w:sz w:val="16"/>
          <w:szCs w:val="16"/>
        </w:rPr>
        <w:t xml:space="preserve">or if that service </w:t>
      </w:r>
      <w:r w:rsidR="00D81A93" w:rsidRPr="00A01788">
        <w:rPr>
          <w:i/>
          <w:iCs/>
          <w:sz w:val="16"/>
          <w:szCs w:val="16"/>
        </w:rPr>
        <w:t>is</w:t>
      </w:r>
      <w:r w:rsidRPr="00A01788">
        <w:rPr>
          <w:i/>
          <w:iCs/>
          <w:sz w:val="16"/>
          <w:szCs w:val="16"/>
        </w:rPr>
        <w:t xml:space="preserve"> no longer available, an alternative</w:t>
      </w:r>
      <w:r w:rsidRPr="00A01788">
        <w:rPr>
          <w:sz w:val="16"/>
          <w:szCs w:val="16"/>
        </w:rPr>
        <w:t xml:space="preserve">). </w:t>
      </w:r>
      <w:r w:rsidR="00D81A93" w:rsidRPr="00A01788">
        <w:rPr>
          <w:sz w:val="16"/>
          <w:szCs w:val="16"/>
        </w:rPr>
        <w:t xml:space="preserve">Because these are private organisations, they may charge you for this, which is their decision. </w:t>
      </w:r>
      <w:r w:rsidRPr="00A01788">
        <w:rPr>
          <w:sz w:val="16"/>
          <w:szCs w:val="16"/>
        </w:rPr>
        <w:t xml:space="preserve">  </w:t>
      </w:r>
    </w:p>
    <w:p w14:paraId="2F18CAC0" w14:textId="72BB5DF9" w:rsidR="003D6821" w:rsidRPr="00A01788" w:rsidRDefault="003D6821" w:rsidP="0043601B">
      <w:pPr>
        <w:pStyle w:val="ListParagraph"/>
        <w:numPr>
          <w:ilvl w:val="0"/>
          <w:numId w:val="1"/>
        </w:numPr>
        <w:rPr>
          <w:sz w:val="16"/>
          <w:szCs w:val="16"/>
        </w:rPr>
      </w:pPr>
      <w:r w:rsidRPr="00A01788">
        <w:rPr>
          <w:sz w:val="16"/>
          <w:szCs w:val="16"/>
        </w:rPr>
        <w:t>I am aware that if the above agreement is breached or the GP surgery feels I am in breach of this agreement or the shared care protocol, the GP can end this agreement, and that the GP will no longer be responsible for issuing ADHD medications</w:t>
      </w:r>
      <w:r w:rsidR="004B2484" w:rsidRPr="00A01788">
        <w:rPr>
          <w:sz w:val="16"/>
          <w:szCs w:val="16"/>
        </w:rPr>
        <w:t xml:space="preserve">, and that there is no obligation on the GP to resume this agreement. </w:t>
      </w:r>
    </w:p>
    <w:p w14:paraId="222ABDC7" w14:textId="4CFA7EA6" w:rsidR="007861EE" w:rsidRPr="00A01788" w:rsidRDefault="007861EE" w:rsidP="0043601B">
      <w:pPr>
        <w:pStyle w:val="ListParagraph"/>
        <w:numPr>
          <w:ilvl w:val="0"/>
          <w:numId w:val="1"/>
        </w:numPr>
        <w:rPr>
          <w:sz w:val="16"/>
          <w:szCs w:val="16"/>
        </w:rPr>
      </w:pPr>
      <w:r w:rsidRPr="00A01788">
        <w:rPr>
          <w:sz w:val="16"/>
          <w:szCs w:val="16"/>
        </w:rPr>
        <w:t xml:space="preserve">The GP practice may alter the terms of this agreement in line with any changes to the regulation of medications for ADHD, or, due to pressures on the practice. </w:t>
      </w:r>
      <w:r w:rsidR="007732CC">
        <w:rPr>
          <w:sz w:val="16"/>
          <w:szCs w:val="16"/>
        </w:rPr>
        <w:t xml:space="preserve">Any changes will be communicated to patients. </w:t>
      </w:r>
    </w:p>
    <w:p w14:paraId="4A335374" w14:textId="6895F6F8" w:rsidR="007861EE" w:rsidRPr="00A01788" w:rsidRDefault="007861EE" w:rsidP="0043601B">
      <w:pPr>
        <w:pStyle w:val="ListParagraph"/>
        <w:numPr>
          <w:ilvl w:val="0"/>
          <w:numId w:val="1"/>
        </w:numPr>
        <w:rPr>
          <w:sz w:val="16"/>
          <w:szCs w:val="16"/>
        </w:rPr>
      </w:pPr>
      <w:r w:rsidRPr="00A01788">
        <w:rPr>
          <w:sz w:val="16"/>
          <w:szCs w:val="16"/>
        </w:rPr>
        <w:t xml:space="preserve">I can confirm I live within the practice boundary as defined on the practice website. I accept that if I move outside the practice area then the terms of this agreement </w:t>
      </w:r>
      <w:r w:rsidR="00A01788" w:rsidRPr="00A01788">
        <w:rPr>
          <w:sz w:val="16"/>
          <w:szCs w:val="16"/>
        </w:rPr>
        <w:t>will</w:t>
      </w:r>
      <w:r w:rsidRPr="00A01788">
        <w:rPr>
          <w:sz w:val="16"/>
          <w:szCs w:val="16"/>
        </w:rPr>
        <w:t xml:space="preserve"> no longer apply.   </w:t>
      </w:r>
    </w:p>
    <w:p w14:paraId="3E6316A7" w14:textId="15B0328D" w:rsidR="007D18D0" w:rsidRPr="00A01788" w:rsidRDefault="007D18D0" w:rsidP="003D6821">
      <w:pPr>
        <w:rPr>
          <w:sz w:val="16"/>
          <w:szCs w:val="16"/>
        </w:rPr>
      </w:pPr>
      <w:r w:rsidRPr="00A01788">
        <w:rPr>
          <w:sz w:val="16"/>
          <w:szCs w:val="16"/>
        </w:rPr>
        <w:t xml:space="preserve">This is intended to enable the patient to have local care provided by the practice without placing undue pressure on the GP practice to take on additional work.  I accept that final interpretation of this agreement is entirely at the discretion of the GP practice.   </w:t>
      </w:r>
    </w:p>
    <w:p w14:paraId="0B36EEE5" w14:textId="16F7BF81" w:rsidR="00A81DCC" w:rsidRPr="00A01788" w:rsidRDefault="00A81DCC" w:rsidP="00A81DCC">
      <w:pPr>
        <w:ind w:left="360"/>
        <w:rPr>
          <w:sz w:val="16"/>
          <w:szCs w:val="16"/>
        </w:rPr>
      </w:pPr>
      <w:r w:rsidRPr="00A01788">
        <w:rPr>
          <w:sz w:val="16"/>
          <w:szCs w:val="16"/>
        </w:rPr>
        <w:fldChar w:fldCharType="begin">
          <w:ffData>
            <w:name w:val="Check1"/>
            <w:enabled/>
            <w:calcOnExit w:val="0"/>
            <w:checkBox>
              <w:sizeAuto/>
              <w:default w:val="0"/>
            </w:checkBox>
          </w:ffData>
        </w:fldChar>
      </w:r>
      <w:bookmarkStart w:id="0" w:name="Check1"/>
      <w:r w:rsidRPr="00A01788">
        <w:rPr>
          <w:sz w:val="16"/>
          <w:szCs w:val="16"/>
        </w:rPr>
        <w:instrText xml:space="preserve"> FORMCHECKBOX </w:instrText>
      </w:r>
      <w:r w:rsidR="00226BDC">
        <w:rPr>
          <w:sz w:val="16"/>
          <w:szCs w:val="16"/>
        </w:rPr>
      </w:r>
      <w:r w:rsidR="00226BDC">
        <w:rPr>
          <w:sz w:val="16"/>
          <w:szCs w:val="16"/>
        </w:rPr>
        <w:fldChar w:fldCharType="separate"/>
      </w:r>
      <w:r w:rsidRPr="00A01788">
        <w:rPr>
          <w:sz w:val="16"/>
          <w:szCs w:val="16"/>
        </w:rPr>
        <w:fldChar w:fldCharType="end"/>
      </w:r>
      <w:bookmarkEnd w:id="0"/>
      <w:r w:rsidRPr="00A01788">
        <w:rPr>
          <w:sz w:val="16"/>
          <w:szCs w:val="16"/>
        </w:rPr>
        <w:t xml:space="preserve"> I agree to the above terms</w:t>
      </w:r>
      <w:r w:rsidR="007D18D0" w:rsidRPr="00A01788">
        <w:rPr>
          <w:sz w:val="16"/>
          <w:szCs w:val="16"/>
        </w:rPr>
        <w:t xml:space="preserve"> in their entirety. </w:t>
      </w:r>
    </w:p>
    <w:tbl>
      <w:tblPr>
        <w:tblStyle w:val="PlainTable4"/>
        <w:tblW w:w="0" w:type="auto"/>
        <w:tblLook w:val="04A0" w:firstRow="1" w:lastRow="0" w:firstColumn="1" w:lastColumn="0" w:noHBand="0" w:noVBand="1"/>
      </w:tblPr>
      <w:tblGrid>
        <w:gridCol w:w="4347"/>
        <w:gridCol w:w="4309"/>
      </w:tblGrid>
      <w:tr w:rsidR="003867E6" w:rsidRPr="00A01788" w14:paraId="6A571A96" w14:textId="77777777" w:rsidTr="00FE7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7" w:type="dxa"/>
          </w:tcPr>
          <w:p w14:paraId="24FE309F" w14:textId="3DBAA1BF" w:rsidR="003867E6" w:rsidRPr="00A01788" w:rsidRDefault="003867E6" w:rsidP="003867E6">
            <w:pPr>
              <w:rPr>
                <w:b w:val="0"/>
                <w:bCs w:val="0"/>
                <w:sz w:val="16"/>
                <w:szCs w:val="16"/>
              </w:rPr>
            </w:pPr>
            <w:r w:rsidRPr="00A01788">
              <w:rPr>
                <w:b w:val="0"/>
                <w:bCs w:val="0"/>
                <w:sz w:val="16"/>
                <w:szCs w:val="16"/>
              </w:rPr>
              <w:t>Name of patient:</w:t>
            </w:r>
          </w:p>
        </w:tc>
        <w:tc>
          <w:tcPr>
            <w:tcW w:w="4309" w:type="dxa"/>
          </w:tcPr>
          <w:p w14:paraId="469C0420" w14:textId="6688C627" w:rsidR="003867E6" w:rsidRPr="00A01788" w:rsidRDefault="003867E6" w:rsidP="003867E6">
            <w:pPr>
              <w:cnfStyle w:val="100000000000" w:firstRow="1" w:lastRow="0" w:firstColumn="0" w:lastColumn="0" w:oddVBand="0" w:evenVBand="0" w:oddHBand="0" w:evenHBand="0" w:firstRowFirstColumn="0" w:firstRowLastColumn="0" w:lastRowFirstColumn="0" w:lastRowLastColumn="0"/>
              <w:rPr>
                <w:sz w:val="16"/>
                <w:szCs w:val="16"/>
              </w:rPr>
            </w:pPr>
            <w:r w:rsidRPr="00A01788">
              <w:rPr>
                <w:sz w:val="16"/>
                <w:szCs w:val="16"/>
              </w:rPr>
              <w:t>__________________________________________</w:t>
            </w:r>
          </w:p>
        </w:tc>
      </w:tr>
      <w:tr w:rsidR="003867E6" w:rsidRPr="00A01788" w14:paraId="385365F7" w14:textId="77777777" w:rsidTr="00FE7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7" w:type="dxa"/>
          </w:tcPr>
          <w:p w14:paraId="2AA3D9F7" w14:textId="1F070BF8" w:rsidR="003867E6" w:rsidRPr="00A01788" w:rsidRDefault="003867E6" w:rsidP="003867E6">
            <w:pPr>
              <w:rPr>
                <w:b w:val="0"/>
                <w:bCs w:val="0"/>
                <w:sz w:val="16"/>
                <w:szCs w:val="16"/>
              </w:rPr>
            </w:pPr>
            <w:r w:rsidRPr="00A01788">
              <w:rPr>
                <w:b w:val="0"/>
                <w:bCs w:val="0"/>
                <w:sz w:val="16"/>
                <w:szCs w:val="16"/>
              </w:rPr>
              <w:t>(If patient is under 16 years of age.</w:t>
            </w:r>
            <w:r w:rsidRPr="00A01788">
              <w:rPr>
                <w:b w:val="0"/>
                <w:bCs w:val="0"/>
                <w:sz w:val="16"/>
                <w:szCs w:val="16"/>
              </w:rPr>
              <w:br/>
              <w:t>this must be signed by parent or guardian:</w:t>
            </w:r>
          </w:p>
        </w:tc>
        <w:tc>
          <w:tcPr>
            <w:tcW w:w="4309" w:type="dxa"/>
          </w:tcPr>
          <w:p w14:paraId="6AED9AAA" w14:textId="3061DD7E" w:rsidR="003867E6" w:rsidRPr="00A01788" w:rsidRDefault="003867E6" w:rsidP="003867E6">
            <w:pPr>
              <w:cnfStyle w:val="000000100000" w:firstRow="0" w:lastRow="0" w:firstColumn="0" w:lastColumn="0" w:oddVBand="0" w:evenVBand="0" w:oddHBand="1" w:evenHBand="0" w:firstRowFirstColumn="0" w:firstRowLastColumn="0" w:lastRowFirstColumn="0" w:lastRowLastColumn="0"/>
              <w:rPr>
                <w:sz w:val="16"/>
                <w:szCs w:val="16"/>
              </w:rPr>
            </w:pPr>
            <w:r w:rsidRPr="00A01788">
              <w:rPr>
                <w:sz w:val="16"/>
                <w:szCs w:val="16"/>
              </w:rPr>
              <w:t>__________________________________________</w:t>
            </w:r>
          </w:p>
        </w:tc>
      </w:tr>
      <w:tr w:rsidR="003867E6" w:rsidRPr="00A01788" w14:paraId="0655E13A" w14:textId="77777777" w:rsidTr="00FE73C3">
        <w:tc>
          <w:tcPr>
            <w:cnfStyle w:val="001000000000" w:firstRow="0" w:lastRow="0" w:firstColumn="1" w:lastColumn="0" w:oddVBand="0" w:evenVBand="0" w:oddHBand="0" w:evenHBand="0" w:firstRowFirstColumn="0" w:firstRowLastColumn="0" w:lastRowFirstColumn="0" w:lastRowLastColumn="0"/>
            <w:tcW w:w="4347" w:type="dxa"/>
          </w:tcPr>
          <w:p w14:paraId="727B9875" w14:textId="4C62D893" w:rsidR="003867E6" w:rsidRPr="00A01788" w:rsidRDefault="003867E6" w:rsidP="003867E6">
            <w:pPr>
              <w:rPr>
                <w:b w:val="0"/>
                <w:bCs w:val="0"/>
                <w:sz w:val="16"/>
                <w:szCs w:val="16"/>
              </w:rPr>
            </w:pPr>
            <w:r w:rsidRPr="00A01788">
              <w:rPr>
                <w:b w:val="0"/>
                <w:bCs w:val="0"/>
                <w:sz w:val="16"/>
                <w:szCs w:val="16"/>
              </w:rPr>
              <w:t>Patients date of birth:</w:t>
            </w:r>
          </w:p>
        </w:tc>
        <w:tc>
          <w:tcPr>
            <w:tcW w:w="4309" w:type="dxa"/>
          </w:tcPr>
          <w:p w14:paraId="0A94B7A5" w14:textId="03A1DD06" w:rsidR="003867E6" w:rsidRPr="00A01788" w:rsidRDefault="003867E6" w:rsidP="003867E6">
            <w:pPr>
              <w:cnfStyle w:val="000000000000" w:firstRow="0" w:lastRow="0" w:firstColumn="0" w:lastColumn="0" w:oddVBand="0" w:evenVBand="0" w:oddHBand="0" w:evenHBand="0" w:firstRowFirstColumn="0" w:firstRowLastColumn="0" w:lastRowFirstColumn="0" w:lastRowLastColumn="0"/>
              <w:rPr>
                <w:sz w:val="16"/>
                <w:szCs w:val="16"/>
              </w:rPr>
            </w:pPr>
            <w:r w:rsidRPr="00A01788">
              <w:rPr>
                <w:sz w:val="16"/>
                <w:szCs w:val="16"/>
              </w:rPr>
              <w:t>__________________________________________</w:t>
            </w:r>
          </w:p>
        </w:tc>
      </w:tr>
      <w:tr w:rsidR="003867E6" w:rsidRPr="00A01788" w14:paraId="6B014A39" w14:textId="77777777" w:rsidTr="00FE7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7" w:type="dxa"/>
          </w:tcPr>
          <w:p w14:paraId="27AE2EF6" w14:textId="0D560195" w:rsidR="003867E6" w:rsidRPr="00A01788" w:rsidRDefault="003867E6" w:rsidP="003867E6">
            <w:pPr>
              <w:rPr>
                <w:b w:val="0"/>
                <w:bCs w:val="0"/>
                <w:sz w:val="16"/>
                <w:szCs w:val="16"/>
              </w:rPr>
            </w:pPr>
            <w:r w:rsidRPr="00A01788">
              <w:rPr>
                <w:b w:val="0"/>
                <w:bCs w:val="0"/>
                <w:sz w:val="16"/>
                <w:szCs w:val="16"/>
              </w:rPr>
              <w:t>Patients address:</w:t>
            </w:r>
          </w:p>
        </w:tc>
        <w:tc>
          <w:tcPr>
            <w:tcW w:w="4309" w:type="dxa"/>
          </w:tcPr>
          <w:p w14:paraId="604C5261" w14:textId="73A8DCBC" w:rsidR="003867E6" w:rsidRPr="00A01788" w:rsidRDefault="003867E6" w:rsidP="003867E6">
            <w:pPr>
              <w:cnfStyle w:val="000000100000" w:firstRow="0" w:lastRow="0" w:firstColumn="0" w:lastColumn="0" w:oddVBand="0" w:evenVBand="0" w:oddHBand="1" w:evenHBand="0" w:firstRowFirstColumn="0" w:firstRowLastColumn="0" w:lastRowFirstColumn="0" w:lastRowLastColumn="0"/>
              <w:rPr>
                <w:sz w:val="16"/>
                <w:szCs w:val="16"/>
              </w:rPr>
            </w:pPr>
            <w:r w:rsidRPr="00A01788">
              <w:rPr>
                <w:sz w:val="16"/>
                <w:szCs w:val="16"/>
              </w:rPr>
              <w:t>__________________________________________</w:t>
            </w:r>
          </w:p>
        </w:tc>
      </w:tr>
      <w:tr w:rsidR="003867E6" w:rsidRPr="00A01788" w14:paraId="72DF7BBC" w14:textId="77777777" w:rsidTr="00FE73C3">
        <w:tc>
          <w:tcPr>
            <w:cnfStyle w:val="001000000000" w:firstRow="0" w:lastRow="0" w:firstColumn="1" w:lastColumn="0" w:oddVBand="0" w:evenVBand="0" w:oddHBand="0" w:evenHBand="0" w:firstRowFirstColumn="0" w:firstRowLastColumn="0" w:lastRowFirstColumn="0" w:lastRowLastColumn="0"/>
            <w:tcW w:w="4347" w:type="dxa"/>
          </w:tcPr>
          <w:p w14:paraId="2B8957A2" w14:textId="5F365D9C" w:rsidR="003867E6" w:rsidRPr="00A01788" w:rsidRDefault="003867E6" w:rsidP="003867E6">
            <w:pPr>
              <w:rPr>
                <w:b w:val="0"/>
                <w:bCs w:val="0"/>
                <w:sz w:val="16"/>
                <w:szCs w:val="16"/>
              </w:rPr>
            </w:pPr>
            <w:r w:rsidRPr="00A01788">
              <w:rPr>
                <w:b w:val="0"/>
                <w:bCs w:val="0"/>
                <w:sz w:val="16"/>
                <w:szCs w:val="16"/>
              </w:rPr>
              <w:t>Date:</w:t>
            </w:r>
          </w:p>
        </w:tc>
        <w:tc>
          <w:tcPr>
            <w:tcW w:w="4309" w:type="dxa"/>
          </w:tcPr>
          <w:p w14:paraId="4EF39D1F" w14:textId="302902EC" w:rsidR="003867E6" w:rsidRPr="00A01788" w:rsidRDefault="003867E6" w:rsidP="003867E6">
            <w:pPr>
              <w:cnfStyle w:val="000000000000" w:firstRow="0" w:lastRow="0" w:firstColumn="0" w:lastColumn="0" w:oddVBand="0" w:evenVBand="0" w:oddHBand="0" w:evenHBand="0" w:firstRowFirstColumn="0" w:firstRowLastColumn="0" w:lastRowFirstColumn="0" w:lastRowLastColumn="0"/>
              <w:rPr>
                <w:sz w:val="16"/>
                <w:szCs w:val="16"/>
              </w:rPr>
            </w:pPr>
            <w:r w:rsidRPr="00A01788">
              <w:rPr>
                <w:sz w:val="16"/>
                <w:szCs w:val="16"/>
              </w:rPr>
              <w:t>__________________________________________</w:t>
            </w:r>
          </w:p>
        </w:tc>
      </w:tr>
    </w:tbl>
    <w:p w14:paraId="4B4B2A5B" w14:textId="77777777" w:rsidR="003867E6" w:rsidRPr="00A01788" w:rsidRDefault="003867E6" w:rsidP="003867E6">
      <w:pPr>
        <w:ind w:left="360"/>
        <w:rPr>
          <w:sz w:val="16"/>
          <w:szCs w:val="16"/>
        </w:rPr>
      </w:pPr>
    </w:p>
    <w:p w14:paraId="142661F0" w14:textId="1F87E1E5" w:rsidR="003867E6" w:rsidRPr="00A01788" w:rsidRDefault="003867E6" w:rsidP="003867E6">
      <w:pPr>
        <w:ind w:left="360"/>
        <w:rPr>
          <w:sz w:val="16"/>
          <w:szCs w:val="16"/>
        </w:rPr>
      </w:pPr>
      <w:r w:rsidRPr="00A01788">
        <w:rPr>
          <w:sz w:val="16"/>
          <w:szCs w:val="16"/>
        </w:rPr>
        <w:t>Please return to the surgery either by paper or by electronic means.</w:t>
      </w:r>
    </w:p>
    <w:sectPr w:rsidR="003867E6" w:rsidRPr="00A0178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9C96" w14:textId="77777777" w:rsidR="005739AD" w:rsidRDefault="005739AD" w:rsidP="005739AD">
      <w:pPr>
        <w:spacing w:after="0" w:line="240" w:lineRule="auto"/>
      </w:pPr>
      <w:r>
        <w:separator/>
      </w:r>
    </w:p>
  </w:endnote>
  <w:endnote w:type="continuationSeparator" w:id="0">
    <w:p w14:paraId="275D8E8D" w14:textId="77777777" w:rsidR="005739AD" w:rsidRDefault="005739AD" w:rsidP="0057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8CB2" w14:textId="77777777" w:rsidR="00226BDC" w:rsidRDefault="00226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91EC" w14:textId="6F29DF0F" w:rsidR="00226BDC" w:rsidRDefault="00226BDC">
    <w:pPr>
      <w:pStyle w:val="Footer"/>
      <w:pBdr>
        <w:bottom w:val="single" w:sz="6" w:space="1" w:color="auto"/>
      </w:pBdr>
    </w:pPr>
  </w:p>
  <w:p w14:paraId="7101DA8A" w14:textId="0FBB2ACA" w:rsidR="00226BDC" w:rsidRPr="00226BDC" w:rsidRDefault="00226BDC" w:rsidP="00226BDC">
    <w:pPr>
      <w:pStyle w:val="Footer"/>
      <w:rPr>
        <w:i/>
        <w:iCs/>
        <w:sz w:val="18"/>
        <w:szCs w:val="18"/>
      </w:rPr>
    </w:pPr>
    <w:r w:rsidRPr="00226BDC">
      <w:rPr>
        <w:i/>
        <w:iCs/>
        <w:sz w:val="18"/>
        <w:szCs w:val="18"/>
      </w:rPr>
      <w:t>Internal use only: Coding/Admin – Match to letter type “ADHD Patient Agreement to abide by Shared Care”</w:t>
    </w:r>
    <w:r>
      <w:rPr>
        <w:i/>
        <w:iCs/>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6ADC" w14:textId="77777777" w:rsidR="00226BDC" w:rsidRDefault="00226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DB6C" w14:textId="77777777" w:rsidR="005739AD" w:rsidRDefault="005739AD" w:rsidP="005739AD">
      <w:pPr>
        <w:spacing w:after="0" w:line="240" w:lineRule="auto"/>
      </w:pPr>
      <w:r>
        <w:separator/>
      </w:r>
    </w:p>
  </w:footnote>
  <w:footnote w:type="continuationSeparator" w:id="0">
    <w:p w14:paraId="50DBB486" w14:textId="77777777" w:rsidR="005739AD" w:rsidRDefault="005739AD" w:rsidP="00573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9A09" w14:textId="77777777" w:rsidR="00226BDC" w:rsidRDefault="00226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234" w14:textId="0B9C7AD3" w:rsidR="005739AD" w:rsidRDefault="005739AD">
    <w:pPr>
      <w:pStyle w:val="Header"/>
      <w:pBdr>
        <w:bottom w:val="single" w:sz="6" w:space="1" w:color="auto"/>
      </w:pBdr>
    </w:pPr>
    <w:r>
      <w:t xml:space="preserve">ADHD PATIENT ACCEPTANCE AGREEMENT </w:t>
    </w:r>
    <w:r w:rsidR="00AA5552">
      <w:t xml:space="preserve">– </w:t>
    </w:r>
    <w:r w:rsidR="00981613">
      <w:t>CARTERKNOWLE</w:t>
    </w:r>
    <w:r w:rsidR="00AA5552">
      <w:t xml:space="preserve"> Surgery 2025 onwards</w:t>
    </w:r>
  </w:p>
  <w:p w14:paraId="54843FB9" w14:textId="77777777" w:rsidR="005739AD" w:rsidRDefault="00573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5708" w14:textId="77777777" w:rsidR="00226BDC" w:rsidRDefault="00226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05D39"/>
    <w:multiLevelType w:val="hybridMultilevel"/>
    <w:tmpl w:val="5BFC2922"/>
    <w:lvl w:ilvl="0" w:tplc="5A8E6FB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6830D1"/>
    <w:multiLevelType w:val="hybridMultilevel"/>
    <w:tmpl w:val="578056F0"/>
    <w:lvl w:ilvl="0" w:tplc="76F4F5A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E71B9"/>
    <w:multiLevelType w:val="hybridMultilevel"/>
    <w:tmpl w:val="96D86CA8"/>
    <w:lvl w:ilvl="0" w:tplc="9F563A8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3915486">
    <w:abstractNumId w:val="0"/>
  </w:num>
  <w:num w:numId="2" w16cid:durableId="1290430178">
    <w:abstractNumId w:val="1"/>
  </w:num>
  <w:num w:numId="3" w16cid:durableId="555314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AD"/>
    <w:rsid w:val="00226BDC"/>
    <w:rsid w:val="00281B36"/>
    <w:rsid w:val="003103C2"/>
    <w:rsid w:val="00365D5D"/>
    <w:rsid w:val="00372EAF"/>
    <w:rsid w:val="003867E6"/>
    <w:rsid w:val="003D6821"/>
    <w:rsid w:val="0043601B"/>
    <w:rsid w:val="004B2484"/>
    <w:rsid w:val="005739AD"/>
    <w:rsid w:val="005F3CBF"/>
    <w:rsid w:val="006951DA"/>
    <w:rsid w:val="006B6281"/>
    <w:rsid w:val="007732CC"/>
    <w:rsid w:val="007861EE"/>
    <w:rsid w:val="007D18D0"/>
    <w:rsid w:val="00981613"/>
    <w:rsid w:val="00A01788"/>
    <w:rsid w:val="00A81DCC"/>
    <w:rsid w:val="00AA5552"/>
    <w:rsid w:val="00B70356"/>
    <w:rsid w:val="00C81686"/>
    <w:rsid w:val="00D15406"/>
    <w:rsid w:val="00D15997"/>
    <w:rsid w:val="00D16E97"/>
    <w:rsid w:val="00D81A93"/>
    <w:rsid w:val="00DF2F8C"/>
    <w:rsid w:val="00FE7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C5F6"/>
  <w15:chartTrackingRefBased/>
  <w15:docId w15:val="{9AAA4708-7987-48A6-B2E6-5872E7DD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9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9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9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9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9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9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9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9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9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9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9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9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9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9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9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9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9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9AD"/>
    <w:rPr>
      <w:rFonts w:eastAsiaTheme="majorEastAsia" w:cstheme="majorBidi"/>
      <w:color w:val="272727" w:themeColor="text1" w:themeTint="D8"/>
    </w:rPr>
  </w:style>
  <w:style w:type="paragraph" w:styleId="Title">
    <w:name w:val="Title"/>
    <w:basedOn w:val="Normal"/>
    <w:next w:val="Normal"/>
    <w:link w:val="TitleChar"/>
    <w:uiPriority w:val="10"/>
    <w:qFormat/>
    <w:rsid w:val="005739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9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9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9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9AD"/>
    <w:pPr>
      <w:spacing w:before="160"/>
      <w:jc w:val="center"/>
    </w:pPr>
    <w:rPr>
      <w:i/>
      <w:iCs/>
      <w:color w:val="404040" w:themeColor="text1" w:themeTint="BF"/>
    </w:rPr>
  </w:style>
  <w:style w:type="character" w:customStyle="1" w:styleId="QuoteChar">
    <w:name w:val="Quote Char"/>
    <w:basedOn w:val="DefaultParagraphFont"/>
    <w:link w:val="Quote"/>
    <w:uiPriority w:val="29"/>
    <w:rsid w:val="005739AD"/>
    <w:rPr>
      <w:i/>
      <w:iCs/>
      <w:color w:val="404040" w:themeColor="text1" w:themeTint="BF"/>
    </w:rPr>
  </w:style>
  <w:style w:type="paragraph" w:styleId="ListParagraph">
    <w:name w:val="List Paragraph"/>
    <w:basedOn w:val="Normal"/>
    <w:uiPriority w:val="34"/>
    <w:qFormat/>
    <w:rsid w:val="005739AD"/>
    <w:pPr>
      <w:ind w:left="720"/>
      <w:contextualSpacing/>
    </w:pPr>
  </w:style>
  <w:style w:type="character" w:styleId="IntenseEmphasis">
    <w:name w:val="Intense Emphasis"/>
    <w:basedOn w:val="DefaultParagraphFont"/>
    <w:uiPriority w:val="21"/>
    <w:qFormat/>
    <w:rsid w:val="005739AD"/>
    <w:rPr>
      <w:i/>
      <w:iCs/>
      <w:color w:val="0F4761" w:themeColor="accent1" w:themeShade="BF"/>
    </w:rPr>
  </w:style>
  <w:style w:type="paragraph" w:styleId="IntenseQuote">
    <w:name w:val="Intense Quote"/>
    <w:basedOn w:val="Normal"/>
    <w:next w:val="Normal"/>
    <w:link w:val="IntenseQuoteChar"/>
    <w:uiPriority w:val="30"/>
    <w:qFormat/>
    <w:rsid w:val="005739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9AD"/>
    <w:rPr>
      <w:i/>
      <w:iCs/>
      <w:color w:val="0F4761" w:themeColor="accent1" w:themeShade="BF"/>
    </w:rPr>
  </w:style>
  <w:style w:type="character" w:styleId="IntenseReference">
    <w:name w:val="Intense Reference"/>
    <w:basedOn w:val="DefaultParagraphFont"/>
    <w:uiPriority w:val="32"/>
    <w:qFormat/>
    <w:rsid w:val="005739AD"/>
    <w:rPr>
      <w:b/>
      <w:bCs/>
      <w:smallCaps/>
      <w:color w:val="0F4761" w:themeColor="accent1" w:themeShade="BF"/>
      <w:spacing w:val="5"/>
    </w:rPr>
  </w:style>
  <w:style w:type="paragraph" w:styleId="Header">
    <w:name w:val="header"/>
    <w:basedOn w:val="Normal"/>
    <w:link w:val="HeaderChar"/>
    <w:uiPriority w:val="99"/>
    <w:unhideWhenUsed/>
    <w:rsid w:val="00573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9AD"/>
  </w:style>
  <w:style w:type="paragraph" w:styleId="Footer">
    <w:name w:val="footer"/>
    <w:basedOn w:val="Normal"/>
    <w:link w:val="FooterChar"/>
    <w:uiPriority w:val="99"/>
    <w:unhideWhenUsed/>
    <w:rsid w:val="00573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9AD"/>
  </w:style>
  <w:style w:type="table" w:styleId="TableGrid">
    <w:name w:val="Table Grid"/>
    <w:basedOn w:val="TableNormal"/>
    <w:uiPriority w:val="39"/>
    <w:rsid w:val="00D16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867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FE73C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Lees</dc:creator>
  <cp:keywords/>
  <dc:description/>
  <cp:lastModifiedBy>LEES, Liam (CARTERKNOWLE DORE MEDICAL PRACTICE)</cp:lastModifiedBy>
  <cp:revision>6</cp:revision>
  <dcterms:created xsi:type="dcterms:W3CDTF">2025-07-10T11:33:00Z</dcterms:created>
  <dcterms:modified xsi:type="dcterms:W3CDTF">2025-07-17T14:41:00Z</dcterms:modified>
</cp:coreProperties>
</file>